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DEA" w:rsidRPr="00860DEA" w:rsidRDefault="00860DEA" w:rsidP="00BC09CB">
      <w:pPr>
        <w:spacing w:before="100" w:beforeAutospacing="1" w:after="100" w:afterAutospacing="1" w:line="270" w:lineRule="atLeast"/>
        <w:rPr>
          <w:rFonts w:ascii="Arial" w:hAnsi="Arial" w:cs="Arial"/>
          <w:b/>
          <w:sz w:val="21"/>
          <w:szCs w:val="21"/>
        </w:rPr>
      </w:pPr>
      <w:r w:rsidRPr="00860DEA">
        <w:rPr>
          <w:rFonts w:ascii="Arial" w:hAnsi="Arial" w:cs="Arial"/>
          <w:b/>
          <w:sz w:val="21"/>
          <w:szCs w:val="21"/>
        </w:rPr>
        <w:t>Direct Redirect!</w:t>
      </w:r>
    </w:p>
    <w:p w:rsidR="00BC09CB" w:rsidRDefault="00BC09CB" w:rsidP="00BC09CB">
      <w:pPr>
        <w:spacing w:before="100" w:beforeAutospacing="1" w:after="100" w:afterAutospacing="1" w:line="270" w:lineRule="atLeast"/>
        <w:rPr>
          <w:rFonts w:ascii="Arial" w:hAnsi="Arial" w:cs="Arial"/>
          <w:sz w:val="21"/>
          <w:szCs w:val="21"/>
        </w:rPr>
      </w:pPr>
      <w:r>
        <w:rPr>
          <w:rFonts w:ascii="Arial" w:hAnsi="Arial" w:cs="Arial"/>
          <w:sz w:val="21"/>
          <w:szCs w:val="21"/>
        </w:rPr>
        <w:t xml:space="preserve">What do you </w:t>
      </w:r>
      <w:r>
        <w:rPr>
          <w:rFonts w:ascii="Arial" w:hAnsi="Arial" w:cs="Arial"/>
          <w:color w:val="000000"/>
          <w:sz w:val="21"/>
          <w:szCs w:val="21"/>
        </w:rPr>
        <w:t>say</w:t>
      </w:r>
      <w:r>
        <w:rPr>
          <w:rFonts w:ascii="Arial" w:hAnsi="Arial" w:cs="Arial"/>
          <w:sz w:val="21"/>
          <w:szCs w:val="21"/>
        </w:rPr>
        <w:t xml:space="preserve"> w</w:t>
      </w:r>
      <w:r w:rsidR="007D4D1F">
        <w:rPr>
          <w:rFonts w:ascii="Arial" w:hAnsi="Arial" w:cs="Arial"/>
          <w:sz w:val="21"/>
          <w:szCs w:val="21"/>
        </w:rPr>
        <w:t>hen a client asks the following?</w:t>
      </w:r>
    </w:p>
    <w:p w:rsidR="00BC09CB" w:rsidRDefault="00BC09CB" w:rsidP="00BC09CB">
      <w:pPr>
        <w:spacing w:before="100" w:beforeAutospacing="1" w:after="100" w:afterAutospacing="1" w:line="270" w:lineRule="atLeast"/>
        <w:rPr>
          <w:rFonts w:ascii="Arial" w:hAnsi="Arial" w:cs="Arial"/>
          <w:b/>
          <w:bCs/>
          <w:sz w:val="21"/>
          <w:szCs w:val="21"/>
        </w:rPr>
      </w:pPr>
      <w:r>
        <w:rPr>
          <w:rFonts w:ascii="Arial" w:hAnsi="Arial" w:cs="Arial"/>
          <w:b/>
          <w:bCs/>
          <w:color w:val="000000"/>
          <w:sz w:val="21"/>
          <w:szCs w:val="21"/>
        </w:rPr>
        <w:t xml:space="preserve">“What is </w:t>
      </w:r>
      <w:r w:rsidR="007D4D1F">
        <w:rPr>
          <w:rFonts w:ascii="Arial" w:hAnsi="Arial" w:cs="Arial"/>
          <w:b/>
          <w:bCs/>
          <w:color w:val="000000"/>
          <w:sz w:val="21"/>
          <w:szCs w:val="21"/>
        </w:rPr>
        <w:t>a</w:t>
      </w:r>
      <w:r>
        <w:rPr>
          <w:rFonts w:ascii="Arial" w:hAnsi="Arial" w:cs="Arial"/>
          <w:b/>
          <w:bCs/>
          <w:color w:val="000000"/>
          <w:sz w:val="21"/>
          <w:szCs w:val="21"/>
        </w:rPr>
        <w:t xml:space="preserve"> Direct Plan? Why should I invest</w:t>
      </w:r>
      <w:r>
        <w:rPr>
          <w:rFonts w:ascii="Arial" w:hAnsi="Arial" w:cs="Arial"/>
          <w:b/>
          <w:bCs/>
          <w:sz w:val="21"/>
          <w:szCs w:val="21"/>
        </w:rPr>
        <w:t xml:space="preserve"> in Regular Plan</w:t>
      </w:r>
      <w:r>
        <w:rPr>
          <w:rFonts w:ascii="Arial" w:hAnsi="Arial" w:cs="Arial"/>
          <w:b/>
          <w:bCs/>
          <w:color w:val="000000"/>
          <w:sz w:val="21"/>
          <w:szCs w:val="21"/>
        </w:rPr>
        <w:t>s</w:t>
      </w:r>
      <w:r>
        <w:rPr>
          <w:rFonts w:ascii="Arial" w:hAnsi="Arial" w:cs="Arial"/>
          <w:b/>
          <w:bCs/>
          <w:sz w:val="21"/>
          <w:szCs w:val="21"/>
        </w:rPr>
        <w:t xml:space="preserve"> through Sharekhan?”</w:t>
      </w:r>
    </w:p>
    <w:p w:rsidR="00BC09CB" w:rsidRDefault="00BC09CB" w:rsidP="00BC09CB">
      <w:pPr>
        <w:spacing w:before="100" w:beforeAutospacing="1" w:after="100" w:afterAutospacing="1" w:line="270" w:lineRule="atLeast"/>
        <w:rPr>
          <w:rFonts w:ascii="Arial" w:hAnsi="Arial" w:cs="Arial"/>
          <w:sz w:val="21"/>
          <w:szCs w:val="21"/>
        </w:rPr>
      </w:pPr>
      <w:r>
        <w:rPr>
          <w:rFonts w:ascii="Arial" w:hAnsi="Arial" w:cs="Arial"/>
          <w:sz w:val="21"/>
          <w:szCs w:val="21"/>
        </w:rPr>
        <w:t xml:space="preserve">Starting Jan 1, 2013, </w:t>
      </w:r>
      <w:r w:rsidR="007D4D1F">
        <w:rPr>
          <w:rFonts w:ascii="Arial" w:hAnsi="Arial" w:cs="Arial"/>
          <w:sz w:val="21"/>
          <w:szCs w:val="21"/>
        </w:rPr>
        <w:t>all investments in</w:t>
      </w:r>
      <w:r>
        <w:rPr>
          <w:rFonts w:ascii="Arial" w:hAnsi="Arial" w:cs="Arial"/>
          <w:sz w:val="21"/>
          <w:szCs w:val="21"/>
        </w:rPr>
        <w:t xml:space="preserve"> Mutual Fund</w:t>
      </w:r>
      <w:r w:rsidR="007D4D1F">
        <w:rPr>
          <w:rFonts w:ascii="Arial" w:hAnsi="Arial" w:cs="Arial"/>
          <w:sz w:val="21"/>
          <w:szCs w:val="21"/>
        </w:rPr>
        <w:t>s</w:t>
      </w:r>
      <w:r>
        <w:rPr>
          <w:rFonts w:ascii="Arial" w:hAnsi="Arial" w:cs="Arial"/>
          <w:sz w:val="21"/>
          <w:szCs w:val="21"/>
        </w:rPr>
        <w:t xml:space="preserve"> in India </w:t>
      </w:r>
      <w:r w:rsidR="007D4D1F">
        <w:rPr>
          <w:rFonts w:ascii="Arial" w:hAnsi="Arial" w:cs="Arial"/>
          <w:sz w:val="21"/>
          <w:szCs w:val="21"/>
        </w:rPr>
        <w:t>can be done in</w:t>
      </w:r>
      <w:r>
        <w:rPr>
          <w:rFonts w:ascii="Arial" w:hAnsi="Arial" w:cs="Arial"/>
          <w:sz w:val="21"/>
          <w:szCs w:val="21"/>
        </w:rPr>
        <w:t xml:space="preserve"> two </w:t>
      </w:r>
      <w:r w:rsidR="007D4D1F">
        <w:rPr>
          <w:rFonts w:ascii="Arial" w:hAnsi="Arial" w:cs="Arial"/>
          <w:sz w:val="21"/>
          <w:szCs w:val="21"/>
        </w:rPr>
        <w:t>ways</w:t>
      </w:r>
      <w:r>
        <w:rPr>
          <w:rFonts w:ascii="Arial" w:hAnsi="Arial" w:cs="Arial"/>
          <w:sz w:val="21"/>
          <w:szCs w:val="21"/>
        </w:rPr>
        <w:t xml:space="preserve">– a 'Regular Plan’ and </w:t>
      </w:r>
      <w:r w:rsidR="007D4D1F">
        <w:rPr>
          <w:rFonts w:ascii="Arial" w:hAnsi="Arial" w:cs="Arial"/>
          <w:sz w:val="21"/>
          <w:szCs w:val="21"/>
        </w:rPr>
        <w:t xml:space="preserve">a </w:t>
      </w:r>
      <w:r>
        <w:rPr>
          <w:rFonts w:ascii="Arial" w:hAnsi="Arial" w:cs="Arial"/>
          <w:sz w:val="21"/>
          <w:szCs w:val="21"/>
        </w:rPr>
        <w:t>'Direct Plan'. They are exactly the same scheme, same load structure, run by the same fund managers investing in the same stocks and bonds, but with one difference of expense ratio. A Regular Plan is one in which the Mutual Fund Company</w:t>
      </w:r>
      <w:r w:rsidR="007D4D1F">
        <w:rPr>
          <w:rFonts w:ascii="Arial" w:hAnsi="Arial" w:cs="Arial"/>
          <w:sz w:val="21"/>
          <w:szCs w:val="21"/>
        </w:rPr>
        <w:t>(AMC)</w:t>
      </w:r>
      <w:r>
        <w:rPr>
          <w:rFonts w:ascii="Arial" w:hAnsi="Arial" w:cs="Arial"/>
          <w:sz w:val="21"/>
          <w:szCs w:val="21"/>
        </w:rPr>
        <w:t xml:space="preserve"> pays your distributor a certain percentage of commission every quarter. This commission is charged to the fund cost which is reflected in the NAV. In case of a Direct Plan, as no commissions are paid, this cost is not deducted from the NAV. </w:t>
      </w:r>
      <w:r w:rsidR="007D4D1F">
        <w:rPr>
          <w:rFonts w:ascii="Arial" w:hAnsi="Arial" w:cs="Arial"/>
          <w:sz w:val="21"/>
          <w:szCs w:val="21"/>
        </w:rPr>
        <w:t>Therefore,</w:t>
      </w:r>
      <w:r>
        <w:rPr>
          <w:rFonts w:ascii="Arial" w:hAnsi="Arial" w:cs="Arial"/>
          <w:sz w:val="21"/>
          <w:szCs w:val="21"/>
        </w:rPr>
        <w:t xml:space="preserve"> returns will be higher in Direct Plan over Regular Plan to the extent of the commissions paid.</w:t>
      </w:r>
    </w:p>
    <w:p w:rsidR="00BC09CB" w:rsidRDefault="00BC09CB" w:rsidP="00BC09CB">
      <w:pPr>
        <w:spacing w:before="100" w:beforeAutospacing="1" w:after="100" w:afterAutospacing="1" w:line="270" w:lineRule="atLeast"/>
        <w:rPr>
          <w:rFonts w:ascii="Arial" w:hAnsi="Arial" w:cs="Arial"/>
          <w:color w:val="000000"/>
          <w:sz w:val="21"/>
          <w:szCs w:val="21"/>
        </w:rPr>
      </w:pPr>
      <w:r>
        <w:rPr>
          <w:rFonts w:ascii="Arial" w:hAnsi="Arial" w:cs="Arial"/>
          <w:sz w:val="21"/>
          <w:szCs w:val="21"/>
        </w:rPr>
        <w:t xml:space="preserve">The key </w:t>
      </w:r>
      <w:r>
        <w:rPr>
          <w:rFonts w:ascii="Arial" w:hAnsi="Arial" w:cs="Arial"/>
          <w:color w:val="000000"/>
          <w:sz w:val="21"/>
          <w:szCs w:val="21"/>
        </w:rPr>
        <w:t>difference between a Direct Plan and Regular Plan is a choice between taking care of your investments needs on your own or taking help of a mutual fund distributor such as Sharekhan. When you choose to liaise through a distributor</w:t>
      </w:r>
      <w:r>
        <w:rPr>
          <w:rFonts w:ascii="Arial" w:hAnsi="Arial" w:cs="Arial"/>
          <w:sz w:val="21"/>
          <w:szCs w:val="21"/>
        </w:rPr>
        <w:t xml:space="preserve">, the Fund House pays </w:t>
      </w:r>
      <w:r>
        <w:rPr>
          <w:rFonts w:ascii="Arial" w:hAnsi="Arial" w:cs="Arial"/>
          <w:color w:val="000000"/>
          <w:sz w:val="21"/>
          <w:szCs w:val="21"/>
        </w:rPr>
        <w:t>commission to the distributor which is deducted from the NAV. Your returns are therefore marginally lower (</w:t>
      </w:r>
      <w:proofErr w:type="spellStart"/>
      <w:r>
        <w:rPr>
          <w:rFonts w:ascii="Arial" w:hAnsi="Arial" w:cs="Arial"/>
          <w:color w:val="000000"/>
          <w:sz w:val="21"/>
          <w:szCs w:val="21"/>
        </w:rPr>
        <w:t>approx</w:t>
      </w:r>
      <w:proofErr w:type="spellEnd"/>
      <w:r>
        <w:rPr>
          <w:rFonts w:ascii="Arial" w:hAnsi="Arial" w:cs="Arial"/>
          <w:color w:val="000000"/>
          <w:sz w:val="21"/>
          <w:szCs w:val="21"/>
        </w:rPr>
        <w:t xml:space="preserve"> 1% in an equity fund) in Regular Plans </w:t>
      </w:r>
      <w:r w:rsidR="007D4D1F">
        <w:rPr>
          <w:rFonts w:ascii="Arial" w:hAnsi="Arial" w:cs="Arial"/>
          <w:color w:val="000000"/>
          <w:sz w:val="21"/>
          <w:szCs w:val="21"/>
        </w:rPr>
        <w:t xml:space="preserve">as </w:t>
      </w:r>
      <w:r>
        <w:rPr>
          <w:rFonts w:ascii="Arial" w:hAnsi="Arial" w:cs="Arial"/>
          <w:color w:val="000000"/>
          <w:sz w:val="21"/>
          <w:szCs w:val="21"/>
        </w:rPr>
        <w:t>compared to Direct Plans.</w:t>
      </w:r>
    </w:p>
    <w:p w:rsidR="00BC09CB" w:rsidRDefault="00BC09CB" w:rsidP="00BC09CB">
      <w:pPr>
        <w:spacing w:before="100" w:beforeAutospacing="1" w:after="100" w:afterAutospacing="1" w:line="270" w:lineRule="atLeast"/>
        <w:rPr>
          <w:rFonts w:ascii="Arial" w:hAnsi="Arial" w:cs="Arial"/>
          <w:b/>
          <w:bCs/>
          <w:sz w:val="21"/>
          <w:szCs w:val="21"/>
        </w:rPr>
      </w:pPr>
      <w:r>
        <w:rPr>
          <w:rFonts w:ascii="Arial" w:hAnsi="Arial" w:cs="Arial"/>
          <w:b/>
          <w:bCs/>
          <w:color w:val="000000"/>
          <w:sz w:val="21"/>
          <w:szCs w:val="21"/>
        </w:rPr>
        <w:t>Below is a quick snapshot of some of the key benefits of investing through</w:t>
      </w:r>
      <w:r>
        <w:rPr>
          <w:rFonts w:ascii="Arial" w:hAnsi="Arial" w:cs="Arial"/>
          <w:b/>
          <w:bCs/>
          <w:color w:val="1F497D"/>
          <w:sz w:val="21"/>
          <w:szCs w:val="21"/>
        </w:rPr>
        <w:t xml:space="preserve"> </w:t>
      </w:r>
      <w:r>
        <w:rPr>
          <w:rFonts w:ascii="Arial" w:hAnsi="Arial" w:cs="Arial"/>
          <w:b/>
          <w:bCs/>
          <w:sz w:val="21"/>
          <w:szCs w:val="21"/>
        </w:rPr>
        <w:t>Sharekhan:</w:t>
      </w:r>
    </w:p>
    <w:tbl>
      <w:tblPr>
        <w:tblW w:w="0" w:type="auto"/>
        <w:tblCellMar>
          <w:left w:w="0" w:type="dxa"/>
          <w:right w:w="0" w:type="dxa"/>
        </w:tblCellMar>
        <w:tblLook w:val="04A0" w:firstRow="1" w:lastRow="0" w:firstColumn="1" w:lastColumn="0" w:noHBand="0" w:noVBand="1"/>
      </w:tblPr>
      <w:tblGrid>
        <w:gridCol w:w="3504"/>
        <w:gridCol w:w="1791"/>
        <w:gridCol w:w="3504"/>
      </w:tblGrid>
      <w:tr w:rsidR="00BC09CB" w:rsidTr="00D73F9B">
        <w:trPr>
          <w:trHeight w:val="502"/>
        </w:trPr>
        <w:tc>
          <w:tcPr>
            <w:tcW w:w="3504" w:type="dxa"/>
            <w:tcBorders>
              <w:top w:val="single" w:sz="8" w:space="0" w:color="F79646"/>
              <w:left w:val="nil"/>
              <w:bottom w:val="single" w:sz="8" w:space="0" w:color="F79646"/>
              <w:right w:val="nil"/>
            </w:tcBorders>
            <w:tcMar>
              <w:top w:w="0" w:type="dxa"/>
              <w:left w:w="108" w:type="dxa"/>
              <w:bottom w:w="0" w:type="dxa"/>
              <w:right w:w="108" w:type="dxa"/>
            </w:tcMar>
          </w:tcPr>
          <w:p w:rsidR="00BC09CB" w:rsidRDefault="00BC09CB" w:rsidP="00D73F9B">
            <w:pPr>
              <w:rPr>
                <w:rFonts w:ascii="Arial" w:hAnsi="Arial" w:cs="Arial"/>
                <w:b/>
                <w:bCs/>
                <w:sz w:val="21"/>
                <w:szCs w:val="21"/>
              </w:rPr>
            </w:pPr>
          </w:p>
        </w:tc>
        <w:tc>
          <w:tcPr>
            <w:tcW w:w="1791" w:type="dxa"/>
            <w:tcBorders>
              <w:top w:val="single" w:sz="8" w:space="0" w:color="F79646"/>
              <w:left w:val="nil"/>
              <w:bottom w:val="single" w:sz="8" w:space="0" w:color="F79646"/>
              <w:right w:val="nil"/>
            </w:tcBorders>
            <w:tcMar>
              <w:top w:w="0" w:type="dxa"/>
              <w:left w:w="108" w:type="dxa"/>
              <w:bottom w:w="0" w:type="dxa"/>
              <w:right w:w="108" w:type="dxa"/>
            </w:tcMar>
            <w:hideMark/>
          </w:tcPr>
          <w:p w:rsidR="00BC09CB" w:rsidRDefault="00BC09CB" w:rsidP="00D73F9B">
            <w:pPr>
              <w:jc w:val="center"/>
              <w:rPr>
                <w:rFonts w:ascii="Arial" w:hAnsi="Arial" w:cs="Arial"/>
                <w:b/>
                <w:bCs/>
                <w:sz w:val="21"/>
                <w:szCs w:val="21"/>
              </w:rPr>
            </w:pPr>
            <w:r>
              <w:rPr>
                <w:rFonts w:ascii="Arial" w:hAnsi="Arial" w:cs="Arial"/>
                <w:b/>
                <w:bCs/>
                <w:sz w:val="21"/>
                <w:szCs w:val="21"/>
              </w:rPr>
              <w:t>Direct</w:t>
            </w:r>
          </w:p>
        </w:tc>
        <w:tc>
          <w:tcPr>
            <w:tcW w:w="3504" w:type="dxa"/>
            <w:tcBorders>
              <w:top w:val="single" w:sz="8" w:space="0" w:color="F79646"/>
              <w:left w:val="nil"/>
              <w:bottom w:val="single" w:sz="8" w:space="0" w:color="F79646"/>
              <w:right w:val="nil"/>
            </w:tcBorders>
            <w:tcMar>
              <w:top w:w="0" w:type="dxa"/>
              <w:left w:w="108" w:type="dxa"/>
              <w:bottom w:w="0" w:type="dxa"/>
              <w:right w:w="108" w:type="dxa"/>
            </w:tcMar>
            <w:hideMark/>
          </w:tcPr>
          <w:p w:rsidR="00BC09CB" w:rsidRDefault="00BC09CB" w:rsidP="00D73F9B">
            <w:pPr>
              <w:jc w:val="center"/>
              <w:rPr>
                <w:rFonts w:ascii="Arial" w:hAnsi="Arial" w:cs="Arial"/>
                <w:b/>
                <w:bCs/>
                <w:sz w:val="21"/>
                <w:szCs w:val="21"/>
              </w:rPr>
            </w:pPr>
            <w:r>
              <w:rPr>
                <w:rFonts w:ascii="Arial" w:hAnsi="Arial" w:cs="Arial"/>
                <w:b/>
                <w:bCs/>
                <w:sz w:val="21"/>
                <w:szCs w:val="21"/>
              </w:rPr>
              <w:t>Regular (services available at Sharekhan)</w:t>
            </w:r>
          </w:p>
        </w:tc>
      </w:tr>
      <w:tr w:rsidR="00BC09CB" w:rsidTr="00D73F9B">
        <w:trPr>
          <w:trHeight w:val="258"/>
        </w:trPr>
        <w:tc>
          <w:tcPr>
            <w:tcW w:w="3504" w:type="dxa"/>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1. Model Portfolio</w:t>
            </w:r>
          </w:p>
        </w:tc>
        <w:tc>
          <w:tcPr>
            <w:tcW w:w="1791"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No</w:t>
            </w:r>
          </w:p>
        </w:tc>
        <w:tc>
          <w:tcPr>
            <w:tcW w:w="3504"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Yes</w:t>
            </w:r>
          </w:p>
        </w:tc>
      </w:tr>
      <w:tr w:rsidR="00BC09CB" w:rsidTr="00D73F9B">
        <w:trPr>
          <w:trHeight w:val="244"/>
        </w:trPr>
        <w:tc>
          <w:tcPr>
            <w:tcW w:w="3504" w:type="dxa"/>
            <w:shd w:val="clear" w:color="auto" w:fill="FDE4D0"/>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2. Fund Research</w:t>
            </w:r>
          </w:p>
        </w:tc>
        <w:tc>
          <w:tcPr>
            <w:tcW w:w="1791" w:type="dxa"/>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No</w:t>
            </w:r>
          </w:p>
        </w:tc>
        <w:tc>
          <w:tcPr>
            <w:tcW w:w="3504" w:type="dxa"/>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Yes</w:t>
            </w:r>
          </w:p>
        </w:tc>
      </w:tr>
      <w:tr w:rsidR="00BC09CB" w:rsidTr="00D73F9B">
        <w:trPr>
          <w:trHeight w:val="1448"/>
        </w:trPr>
        <w:tc>
          <w:tcPr>
            <w:tcW w:w="3504" w:type="dxa"/>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 xml:space="preserve">3. Engaging with fund house for transactions (commercial and </w:t>
            </w:r>
            <w:r w:rsidR="007D4D1F">
              <w:rPr>
                <w:rFonts w:ascii="Arial" w:hAnsi="Arial" w:cs="Arial"/>
                <w:color w:val="000000"/>
                <w:sz w:val="21"/>
                <w:szCs w:val="21"/>
              </w:rPr>
              <w:t>non-commercial</w:t>
            </w:r>
            <w:r>
              <w:rPr>
                <w:rFonts w:ascii="Arial" w:hAnsi="Arial" w:cs="Arial"/>
                <w:color w:val="000000"/>
                <w:sz w:val="21"/>
                <w:szCs w:val="21"/>
              </w:rPr>
              <w:t>)</w:t>
            </w:r>
          </w:p>
        </w:tc>
        <w:tc>
          <w:tcPr>
            <w:tcW w:w="1791"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Self</w:t>
            </w:r>
          </w:p>
        </w:tc>
        <w:tc>
          <w:tcPr>
            <w:tcW w:w="3504"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Logistics of submitting forms/ request for documents for KYC, nomination, change in bank mandate etc</w:t>
            </w:r>
            <w:r w:rsidR="007D4D1F">
              <w:rPr>
                <w:rFonts w:ascii="Arial" w:hAnsi="Arial" w:cs="Arial"/>
                <w:sz w:val="21"/>
                <w:szCs w:val="21"/>
              </w:rPr>
              <w:t>.</w:t>
            </w:r>
            <w:r>
              <w:rPr>
                <w:rFonts w:ascii="Arial" w:hAnsi="Arial" w:cs="Arial"/>
                <w:sz w:val="21"/>
                <w:szCs w:val="21"/>
              </w:rPr>
              <w:t xml:space="preserve"> is taken care of by the distributor</w:t>
            </w:r>
          </w:p>
        </w:tc>
      </w:tr>
      <w:tr w:rsidR="00BC09CB" w:rsidTr="00D73F9B">
        <w:trPr>
          <w:trHeight w:val="517"/>
        </w:trPr>
        <w:tc>
          <w:tcPr>
            <w:tcW w:w="3504" w:type="dxa"/>
            <w:shd w:val="clear" w:color="auto" w:fill="FDE4D0"/>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4. Common portfolio statement across fund houses</w:t>
            </w:r>
          </w:p>
        </w:tc>
        <w:tc>
          <w:tcPr>
            <w:tcW w:w="1791" w:type="dxa"/>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No</w:t>
            </w:r>
          </w:p>
        </w:tc>
        <w:tc>
          <w:tcPr>
            <w:tcW w:w="3504" w:type="dxa"/>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Yes</w:t>
            </w:r>
          </w:p>
        </w:tc>
      </w:tr>
      <w:tr w:rsidR="00BC09CB" w:rsidTr="00D73F9B">
        <w:trPr>
          <w:trHeight w:val="502"/>
        </w:trPr>
        <w:tc>
          <w:tcPr>
            <w:tcW w:w="3504" w:type="dxa"/>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5. Access to market updates</w:t>
            </w:r>
          </w:p>
        </w:tc>
        <w:tc>
          <w:tcPr>
            <w:tcW w:w="1791"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No</w:t>
            </w:r>
          </w:p>
        </w:tc>
        <w:tc>
          <w:tcPr>
            <w:tcW w:w="3504" w:type="dxa"/>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Yes</w:t>
            </w:r>
          </w:p>
        </w:tc>
      </w:tr>
      <w:tr w:rsidR="00BC09CB" w:rsidTr="00D73F9B">
        <w:trPr>
          <w:trHeight w:val="1033"/>
        </w:trPr>
        <w:tc>
          <w:tcPr>
            <w:tcW w:w="3504" w:type="dxa"/>
            <w:tcBorders>
              <w:top w:val="nil"/>
              <w:left w:val="nil"/>
              <w:bottom w:val="single" w:sz="8" w:space="0" w:color="F79646"/>
              <w:right w:val="nil"/>
            </w:tcBorders>
            <w:shd w:val="clear" w:color="auto" w:fill="FDE4D0"/>
            <w:tcMar>
              <w:top w:w="0" w:type="dxa"/>
              <w:left w:w="108" w:type="dxa"/>
              <w:bottom w:w="0" w:type="dxa"/>
              <w:right w:w="108" w:type="dxa"/>
            </w:tcMar>
            <w:hideMark/>
          </w:tcPr>
          <w:p w:rsidR="00BC09CB" w:rsidRDefault="00BC09CB" w:rsidP="00D73F9B">
            <w:pPr>
              <w:pStyle w:val="NoSpacing"/>
              <w:rPr>
                <w:rFonts w:ascii="Arial" w:hAnsi="Arial" w:cs="Arial"/>
                <w:color w:val="000000"/>
                <w:sz w:val="21"/>
                <w:szCs w:val="21"/>
              </w:rPr>
            </w:pPr>
            <w:r>
              <w:rPr>
                <w:rFonts w:ascii="Arial" w:hAnsi="Arial" w:cs="Arial"/>
                <w:color w:val="000000"/>
                <w:sz w:val="21"/>
                <w:szCs w:val="21"/>
              </w:rPr>
              <w:t>6. Access to other products available in the market such as Stocks, Bonds, NCDs, etc</w:t>
            </w:r>
            <w:r w:rsidR="007D4D1F">
              <w:rPr>
                <w:rFonts w:ascii="Arial" w:hAnsi="Arial" w:cs="Arial"/>
                <w:color w:val="000000"/>
                <w:sz w:val="21"/>
                <w:szCs w:val="21"/>
              </w:rPr>
              <w:t>.</w:t>
            </w:r>
          </w:p>
        </w:tc>
        <w:tc>
          <w:tcPr>
            <w:tcW w:w="1791" w:type="dxa"/>
            <w:tcBorders>
              <w:top w:val="nil"/>
              <w:left w:val="nil"/>
              <w:bottom w:val="single" w:sz="8" w:space="0" w:color="F79646"/>
              <w:right w:val="nil"/>
            </w:tcBorders>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No</w:t>
            </w:r>
          </w:p>
        </w:tc>
        <w:tc>
          <w:tcPr>
            <w:tcW w:w="3504" w:type="dxa"/>
            <w:tcBorders>
              <w:top w:val="nil"/>
              <w:left w:val="nil"/>
              <w:bottom w:val="single" w:sz="8" w:space="0" w:color="F79646"/>
              <w:right w:val="nil"/>
            </w:tcBorders>
            <w:shd w:val="clear" w:color="auto" w:fill="FDE4D0"/>
            <w:tcMar>
              <w:top w:w="0" w:type="dxa"/>
              <w:left w:w="108" w:type="dxa"/>
              <w:bottom w:w="0" w:type="dxa"/>
              <w:right w:w="108" w:type="dxa"/>
            </w:tcMar>
            <w:hideMark/>
          </w:tcPr>
          <w:p w:rsidR="00BC09CB" w:rsidRDefault="00BC09CB" w:rsidP="00D73F9B">
            <w:pPr>
              <w:jc w:val="center"/>
              <w:rPr>
                <w:rFonts w:ascii="Arial" w:hAnsi="Arial" w:cs="Arial"/>
                <w:sz w:val="21"/>
                <w:szCs w:val="21"/>
              </w:rPr>
            </w:pPr>
            <w:r>
              <w:rPr>
                <w:rFonts w:ascii="Arial" w:hAnsi="Arial" w:cs="Arial"/>
                <w:sz w:val="21"/>
                <w:szCs w:val="21"/>
              </w:rPr>
              <w:t>Yes</w:t>
            </w:r>
          </w:p>
        </w:tc>
      </w:tr>
    </w:tbl>
    <w:p w:rsidR="00BC09CB" w:rsidRDefault="00BC09CB" w:rsidP="00BC09CB">
      <w:pPr>
        <w:spacing w:before="100" w:beforeAutospacing="1" w:after="100" w:afterAutospacing="1" w:line="270" w:lineRule="atLeast"/>
        <w:rPr>
          <w:rFonts w:ascii="Arial" w:hAnsi="Arial" w:cs="Arial"/>
          <w:b/>
          <w:bCs/>
          <w:sz w:val="21"/>
          <w:szCs w:val="21"/>
        </w:rPr>
      </w:pPr>
      <w:r>
        <w:rPr>
          <w:rFonts w:ascii="Arial" w:hAnsi="Arial" w:cs="Arial"/>
          <w:b/>
          <w:bCs/>
          <w:sz w:val="21"/>
          <w:szCs w:val="21"/>
        </w:rPr>
        <w:t>Why Sharekhan?</w:t>
      </w:r>
    </w:p>
    <w:p w:rsidR="00BC09CB" w:rsidRDefault="00BC09CB" w:rsidP="00BC09CB">
      <w:pPr>
        <w:spacing w:before="100" w:beforeAutospacing="1" w:after="100" w:afterAutospacing="1" w:line="270" w:lineRule="atLeast"/>
        <w:rPr>
          <w:rFonts w:ascii="Arial" w:hAnsi="Arial" w:cs="Arial"/>
          <w:sz w:val="21"/>
          <w:szCs w:val="21"/>
        </w:rPr>
      </w:pPr>
      <w:r>
        <w:rPr>
          <w:rFonts w:ascii="Arial" w:hAnsi="Arial" w:cs="Arial"/>
          <w:sz w:val="21"/>
          <w:szCs w:val="21"/>
        </w:rPr>
        <w:t>Founded in 2000 and a subsidiary of BNP Paribas since November 2016, Sharekhan is one of the first brokers to offer online trading in India. We offer local reach with latest digital technology and service standards and best practices of a global company.</w:t>
      </w:r>
    </w:p>
    <w:p w:rsidR="00BC09CB" w:rsidRDefault="00BC09CB" w:rsidP="00BC09CB">
      <w:pPr>
        <w:spacing w:before="100" w:beforeAutospacing="1" w:after="100" w:afterAutospacing="1" w:line="270" w:lineRule="atLeast"/>
        <w:rPr>
          <w:rFonts w:ascii="Arial" w:hAnsi="Arial" w:cs="Arial"/>
          <w:sz w:val="21"/>
          <w:szCs w:val="21"/>
        </w:rPr>
      </w:pPr>
      <w:r>
        <w:rPr>
          <w:rFonts w:ascii="Arial" w:hAnsi="Arial" w:cs="Arial"/>
          <w:sz w:val="21"/>
          <w:szCs w:val="21"/>
        </w:rPr>
        <w:lastRenderedPageBreak/>
        <w:t xml:space="preserve">With </w:t>
      </w:r>
      <w:r w:rsidR="00093388">
        <w:rPr>
          <w:rFonts w:ascii="Arial" w:hAnsi="Arial" w:cs="Arial"/>
          <w:sz w:val="21"/>
          <w:szCs w:val="21"/>
        </w:rPr>
        <w:t>2 million</w:t>
      </w:r>
      <w:r>
        <w:rPr>
          <w:rFonts w:ascii="Arial" w:hAnsi="Arial" w:cs="Arial"/>
          <w:sz w:val="21"/>
          <w:szCs w:val="21"/>
        </w:rPr>
        <w:t xml:space="preserve"> customers, 1</w:t>
      </w:r>
      <w:r w:rsidR="00093388">
        <w:rPr>
          <w:rFonts w:ascii="Arial" w:hAnsi="Arial" w:cs="Arial"/>
          <w:sz w:val="21"/>
          <w:szCs w:val="21"/>
        </w:rPr>
        <w:t>45</w:t>
      </w:r>
      <w:r>
        <w:rPr>
          <w:rFonts w:ascii="Arial" w:hAnsi="Arial" w:cs="Arial"/>
          <w:sz w:val="21"/>
          <w:szCs w:val="21"/>
        </w:rPr>
        <w:t xml:space="preserve"> branches and more than 2</w:t>
      </w:r>
      <w:r w:rsidR="00093388">
        <w:rPr>
          <w:rFonts w:ascii="Arial" w:hAnsi="Arial" w:cs="Arial"/>
          <w:sz w:val="21"/>
          <w:szCs w:val="21"/>
        </w:rPr>
        <w:t>090</w:t>
      </w:r>
      <w:r>
        <w:rPr>
          <w:rFonts w:ascii="Arial" w:hAnsi="Arial" w:cs="Arial"/>
          <w:sz w:val="21"/>
          <w:szCs w:val="21"/>
        </w:rPr>
        <w:t xml:space="preserve"> business partners spread across ove</w:t>
      </w:r>
      <w:r w:rsidR="00093388">
        <w:rPr>
          <w:rFonts w:ascii="Arial" w:hAnsi="Arial" w:cs="Arial"/>
          <w:color w:val="000000"/>
          <w:sz w:val="21"/>
          <w:szCs w:val="21"/>
        </w:rPr>
        <w:t>r 541</w:t>
      </w:r>
      <w:r>
        <w:rPr>
          <w:rFonts w:ascii="Arial" w:hAnsi="Arial" w:cs="Arial"/>
          <w:color w:val="000000"/>
          <w:sz w:val="21"/>
          <w:szCs w:val="21"/>
        </w:rPr>
        <w:t xml:space="preserve"> locations, Sharekhan is one of the largest brokers in India guiding its</w:t>
      </w:r>
      <w:r w:rsidR="008F0E8E">
        <w:rPr>
          <w:rFonts w:ascii="Arial" w:hAnsi="Arial" w:cs="Arial"/>
          <w:color w:val="000000"/>
          <w:sz w:val="21"/>
          <w:szCs w:val="21"/>
        </w:rPr>
        <w:t xml:space="preserve"> retail stock investors for 20</w:t>
      </w:r>
      <w:r>
        <w:rPr>
          <w:rFonts w:ascii="Arial" w:hAnsi="Arial" w:cs="Arial"/>
          <w:color w:val="000000"/>
          <w:sz w:val="21"/>
          <w:szCs w:val="21"/>
        </w:rPr>
        <w:t xml:space="preserve"> years</w:t>
      </w:r>
      <w:r>
        <w:rPr>
          <w:rFonts w:ascii="Arial" w:hAnsi="Arial" w:cs="Arial"/>
          <w:sz w:val="21"/>
          <w:szCs w:val="21"/>
        </w:rPr>
        <w:t>. Sharekhan offers a wide range of savings &amp; investment solutions including equities, futures and options, currency trading, portfolio management, research and mutual funds and investor education</w:t>
      </w:r>
      <w:r>
        <w:rPr>
          <w:rFonts w:ascii="Arial" w:hAnsi="Arial" w:cs="Arial"/>
          <w:color w:val="1F497D"/>
          <w:sz w:val="21"/>
          <w:szCs w:val="21"/>
        </w:rPr>
        <w:t>.</w:t>
      </w:r>
    </w:p>
    <w:p w:rsidR="00BC09CB" w:rsidRDefault="00BC09CB" w:rsidP="00BC09CB">
      <w:pPr>
        <w:spacing w:before="100" w:beforeAutospacing="1" w:after="100" w:afterAutospacing="1" w:line="270" w:lineRule="atLeast"/>
        <w:rPr>
          <w:rFonts w:ascii="Arial" w:hAnsi="Arial" w:cs="Arial"/>
          <w:color w:val="000000"/>
          <w:sz w:val="21"/>
          <w:szCs w:val="21"/>
        </w:rPr>
      </w:pPr>
      <w:r>
        <w:rPr>
          <w:rFonts w:ascii="Arial" w:hAnsi="Arial" w:cs="Arial"/>
          <w:sz w:val="21"/>
          <w:szCs w:val="21"/>
        </w:rPr>
        <w:t>We take ca</w:t>
      </w:r>
      <w:r>
        <w:rPr>
          <w:rFonts w:ascii="Arial" w:hAnsi="Arial" w:cs="Arial"/>
          <w:color w:val="000000"/>
          <w:sz w:val="21"/>
          <w:szCs w:val="21"/>
        </w:rPr>
        <w:t>re of all your investment needs under one roof!</w:t>
      </w:r>
    </w:p>
    <w:p w:rsidR="00BC09CB" w:rsidRDefault="00BC09CB" w:rsidP="00BC09CB">
      <w:pPr>
        <w:pStyle w:val="ListParagraph"/>
        <w:numPr>
          <w:ilvl w:val="0"/>
          <w:numId w:val="1"/>
        </w:num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A dedicated in-house research desk</w:t>
      </w:r>
    </w:p>
    <w:p w:rsidR="00BC09CB" w:rsidRDefault="00BC09CB" w:rsidP="00BC09CB">
      <w:pPr>
        <w:pStyle w:val="ListParagraph"/>
        <w:numPr>
          <w:ilvl w:val="0"/>
          <w:numId w:val="1"/>
        </w:num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India’s best online trading platforms: Website (</w:t>
      </w:r>
      <w:hyperlink r:id="rId7" w:history="1">
        <w:r>
          <w:rPr>
            <w:rStyle w:val="Hyperlink"/>
            <w:rFonts w:ascii="Arial" w:hAnsi="Arial" w:cs="Arial"/>
            <w:color w:val="000000"/>
            <w:sz w:val="21"/>
            <w:szCs w:val="21"/>
          </w:rPr>
          <w:t>www.sharekhan.com</w:t>
        </w:r>
      </w:hyperlink>
      <w:r>
        <w:rPr>
          <w:rFonts w:ascii="Arial" w:hAnsi="Arial" w:cs="Arial"/>
          <w:color w:val="000000"/>
          <w:sz w:val="21"/>
          <w:szCs w:val="21"/>
        </w:rPr>
        <w:t xml:space="preserve">), </w:t>
      </w:r>
      <w:proofErr w:type="spellStart"/>
      <w:r>
        <w:rPr>
          <w:rFonts w:ascii="Arial" w:hAnsi="Arial" w:cs="Arial"/>
          <w:color w:val="000000"/>
          <w:sz w:val="21"/>
          <w:szCs w:val="21"/>
        </w:rPr>
        <w:t>TradeTiger</w:t>
      </w:r>
      <w:proofErr w:type="spellEnd"/>
      <w:r>
        <w:rPr>
          <w:rFonts w:ascii="Arial" w:hAnsi="Arial" w:cs="Arial"/>
          <w:color w:val="000000"/>
          <w:sz w:val="21"/>
          <w:szCs w:val="21"/>
        </w:rPr>
        <w:t xml:space="preserve"> (the ultimate desktop trading software), Sharekhan App (available for Android and iOS devices) and Sharekhan Mini (a low bandwidth website especially for mobile browsers) </w:t>
      </w:r>
    </w:p>
    <w:p w:rsidR="00BC09CB" w:rsidRDefault="00BC09CB" w:rsidP="00BC09CB">
      <w:pPr>
        <w:pStyle w:val="ListParagraph"/>
        <w:numPr>
          <w:ilvl w:val="0"/>
          <w:numId w:val="1"/>
        </w:num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 xml:space="preserve">A strong brick-and-mortar network with over </w:t>
      </w:r>
      <w:r w:rsidR="008F0E8E">
        <w:rPr>
          <w:rFonts w:ascii="Arial" w:hAnsi="Arial" w:cs="Arial"/>
          <w:color w:val="000000"/>
          <w:sz w:val="21"/>
          <w:szCs w:val="21"/>
        </w:rPr>
        <w:t>3090</w:t>
      </w:r>
      <w:r>
        <w:rPr>
          <w:rFonts w:ascii="Arial" w:hAnsi="Arial" w:cs="Arial"/>
          <w:color w:val="000000"/>
          <w:sz w:val="21"/>
          <w:szCs w:val="21"/>
        </w:rPr>
        <w:t xml:space="preserve"> outlets in 5</w:t>
      </w:r>
      <w:r w:rsidR="008F0E8E">
        <w:rPr>
          <w:rFonts w:ascii="Arial" w:hAnsi="Arial" w:cs="Arial"/>
          <w:color w:val="000000"/>
          <w:sz w:val="21"/>
          <w:szCs w:val="21"/>
        </w:rPr>
        <w:t>41</w:t>
      </w:r>
      <w:r>
        <w:rPr>
          <w:rFonts w:ascii="Arial" w:hAnsi="Arial" w:cs="Arial"/>
          <w:color w:val="000000"/>
          <w:sz w:val="21"/>
          <w:szCs w:val="21"/>
        </w:rPr>
        <w:t>+ cities</w:t>
      </w:r>
    </w:p>
    <w:p w:rsidR="00BC09CB" w:rsidRDefault="00BC09CB" w:rsidP="00BC09CB">
      <w:pPr>
        <w:pStyle w:val="ListParagraph"/>
        <w:numPr>
          <w:ilvl w:val="0"/>
          <w:numId w:val="1"/>
        </w:numPr>
        <w:spacing w:before="100" w:beforeAutospacing="1" w:after="100" w:afterAutospacing="1" w:line="300" w:lineRule="atLeast"/>
        <w:rPr>
          <w:rFonts w:ascii="Arial" w:hAnsi="Arial" w:cs="Arial"/>
          <w:sz w:val="21"/>
          <w:szCs w:val="21"/>
        </w:rPr>
      </w:pPr>
      <w:r>
        <w:rPr>
          <w:rFonts w:ascii="Arial" w:hAnsi="Arial" w:cs="Arial"/>
          <w:color w:val="000000"/>
          <w:sz w:val="21"/>
          <w:szCs w:val="21"/>
        </w:rPr>
        <w:t>A dedicated education and training courses for investors and tra</w:t>
      </w:r>
      <w:bookmarkStart w:id="0" w:name="_GoBack"/>
      <w:bookmarkEnd w:id="0"/>
      <w:r>
        <w:rPr>
          <w:rFonts w:ascii="Arial" w:hAnsi="Arial" w:cs="Arial"/>
          <w:color w:val="000000"/>
          <w:sz w:val="21"/>
          <w:szCs w:val="21"/>
        </w:rPr>
        <w:t>ders in association with Online Trading Aca</w:t>
      </w:r>
      <w:r>
        <w:rPr>
          <w:rFonts w:ascii="Arial" w:hAnsi="Arial" w:cs="Arial"/>
          <w:sz w:val="21"/>
          <w:szCs w:val="21"/>
        </w:rPr>
        <w:t>demy</w:t>
      </w:r>
    </w:p>
    <w:p w:rsidR="00360D1E" w:rsidRDefault="00360D1E"/>
    <w:sectPr w:rsidR="00360D1E" w:rsidSect="00360D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92" w:rsidRDefault="003C3292" w:rsidP="00CB3871">
      <w:r>
        <w:separator/>
      </w:r>
    </w:p>
  </w:endnote>
  <w:endnote w:type="continuationSeparator" w:id="0">
    <w:p w:rsidR="003C3292" w:rsidRDefault="003C3292" w:rsidP="00CB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92" w:rsidRDefault="003C3292" w:rsidP="00CB3871">
      <w:r>
        <w:separator/>
      </w:r>
    </w:p>
  </w:footnote>
  <w:footnote w:type="continuationSeparator" w:id="0">
    <w:p w:rsidR="003C3292" w:rsidRDefault="003C3292" w:rsidP="00CB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71" w:rsidRPr="00CB3871" w:rsidRDefault="00CB3871" w:rsidP="00CB3871">
    <w:pPr>
      <w:pStyle w:val="Header"/>
      <w:jc w:val="right"/>
      <w:rPr>
        <w:i/>
      </w:rPr>
    </w:pPr>
    <w:r>
      <w:rPr>
        <w:i/>
      </w:rPr>
      <w:t xml:space="preserve">For </w:t>
    </w:r>
    <w:r w:rsidRPr="00CB3871">
      <w:rPr>
        <w:i/>
      </w:rPr>
      <w:t>Internal Circulation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70719"/>
    <w:multiLevelType w:val="hybridMultilevel"/>
    <w:tmpl w:val="FFF861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CB"/>
    <w:rsid w:val="00093388"/>
    <w:rsid w:val="000D0916"/>
    <w:rsid w:val="000E14CF"/>
    <w:rsid w:val="00360D1E"/>
    <w:rsid w:val="003B2C65"/>
    <w:rsid w:val="003C3292"/>
    <w:rsid w:val="004000C2"/>
    <w:rsid w:val="00771744"/>
    <w:rsid w:val="007D4D1F"/>
    <w:rsid w:val="00860DEA"/>
    <w:rsid w:val="008F0E8E"/>
    <w:rsid w:val="00981472"/>
    <w:rsid w:val="00BC09CB"/>
    <w:rsid w:val="00C60059"/>
    <w:rsid w:val="00CB3871"/>
    <w:rsid w:val="00DC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EFED"/>
  <w15:docId w15:val="{9940A01D-FF5C-4894-B765-B13FF945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09CB"/>
    <w:rPr>
      <w:color w:val="0000FF"/>
      <w:u w:val="single"/>
    </w:rPr>
  </w:style>
  <w:style w:type="paragraph" w:styleId="NoSpacing">
    <w:name w:val="No Spacing"/>
    <w:basedOn w:val="Normal"/>
    <w:uiPriority w:val="1"/>
    <w:qFormat/>
    <w:rsid w:val="00BC09CB"/>
  </w:style>
  <w:style w:type="paragraph" w:styleId="ListParagraph">
    <w:name w:val="List Paragraph"/>
    <w:basedOn w:val="Normal"/>
    <w:uiPriority w:val="34"/>
    <w:qFormat/>
    <w:rsid w:val="00BC09CB"/>
    <w:pPr>
      <w:ind w:left="720"/>
    </w:pPr>
  </w:style>
  <w:style w:type="paragraph" w:styleId="Header">
    <w:name w:val="header"/>
    <w:basedOn w:val="Normal"/>
    <w:link w:val="HeaderChar"/>
    <w:uiPriority w:val="99"/>
    <w:semiHidden/>
    <w:unhideWhenUsed/>
    <w:rsid w:val="00CB3871"/>
    <w:pPr>
      <w:tabs>
        <w:tab w:val="center" w:pos="4680"/>
        <w:tab w:val="right" w:pos="9360"/>
      </w:tabs>
    </w:pPr>
  </w:style>
  <w:style w:type="character" w:customStyle="1" w:styleId="HeaderChar">
    <w:name w:val="Header Char"/>
    <w:basedOn w:val="DefaultParagraphFont"/>
    <w:link w:val="Header"/>
    <w:uiPriority w:val="99"/>
    <w:semiHidden/>
    <w:rsid w:val="00CB3871"/>
    <w:rPr>
      <w:rFonts w:ascii="Calibri" w:hAnsi="Calibri" w:cs="Calibri"/>
    </w:rPr>
  </w:style>
  <w:style w:type="paragraph" w:styleId="Footer">
    <w:name w:val="footer"/>
    <w:basedOn w:val="Normal"/>
    <w:link w:val="FooterChar"/>
    <w:uiPriority w:val="99"/>
    <w:semiHidden/>
    <w:unhideWhenUsed/>
    <w:rsid w:val="00CB3871"/>
    <w:pPr>
      <w:tabs>
        <w:tab w:val="center" w:pos="4680"/>
        <w:tab w:val="right" w:pos="9360"/>
      </w:tabs>
    </w:pPr>
  </w:style>
  <w:style w:type="character" w:customStyle="1" w:styleId="FooterChar">
    <w:name w:val="Footer Char"/>
    <w:basedOn w:val="DefaultParagraphFont"/>
    <w:link w:val="Footer"/>
    <w:uiPriority w:val="99"/>
    <w:semiHidden/>
    <w:rsid w:val="00CB387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arekh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Sadiya Khan</dc:creator>
  <cp:lastModifiedBy>Jenny Parekh</cp:lastModifiedBy>
  <cp:revision>4</cp:revision>
  <dcterms:created xsi:type="dcterms:W3CDTF">2020-03-11T05:12:00Z</dcterms:created>
  <dcterms:modified xsi:type="dcterms:W3CDTF">2020-03-11T05:19:00Z</dcterms:modified>
</cp:coreProperties>
</file>