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7F0" w:rsidRPr="00427350" w:rsidRDefault="000E3686" w:rsidP="00B07C00">
      <w:pPr>
        <w:spacing w:after="0" w:line="240" w:lineRule="auto"/>
        <w:rPr>
          <w:rFonts w:cstheme="minorHAnsi"/>
          <w:b/>
          <w:sz w:val="28"/>
        </w:rPr>
      </w:pPr>
      <w:r w:rsidRPr="00427350">
        <w:rPr>
          <w:rFonts w:cstheme="minorHAnsi"/>
          <w:b/>
          <w:sz w:val="28"/>
        </w:rPr>
        <w:t>M</w:t>
      </w:r>
      <w:r w:rsidR="00267281">
        <w:rPr>
          <w:rFonts w:cstheme="minorHAnsi"/>
          <w:b/>
          <w:sz w:val="28"/>
        </w:rPr>
        <w:t xml:space="preserve">UTUAL </w:t>
      </w:r>
      <w:r w:rsidRPr="00427350">
        <w:rPr>
          <w:rFonts w:cstheme="minorHAnsi"/>
          <w:b/>
          <w:sz w:val="28"/>
        </w:rPr>
        <w:t>F</w:t>
      </w:r>
      <w:r w:rsidR="00267281">
        <w:rPr>
          <w:rFonts w:cstheme="minorHAnsi"/>
          <w:b/>
          <w:sz w:val="28"/>
        </w:rPr>
        <w:t>UND</w:t>
      </w:r>
      <w:r w:rsidRPr="00427350">
        <w:rPr>
          <w:rFonts w:cstheme="minorHAnsi"/>
          <w:b/>
          <w:sz w:val="28"/>
        </w:rPr>
        <w:t xml:space="preserve"> AUM</w:t>
      </w:r>
      <w:r w:rsidR="00B24081" w:rsidRPr="00427350">
        <w:rPr>
          <w:rFonts w:cstheme="minorHAnsi"/>
          <w:b/>
          <w:sz w:val="28"/>
        </w:rPr>
        <w:t>/ ARN</w:t>
      </w:r>
      <w:r w:rsidRPr="00427350">
        <w:rPr>
          <w:rFonts w:cstheme="minorHAnsi"/>
          <w:b/>
          <w:sz w:val="28"/>
        </w:rPr>
        <w:t xml:space="preserve"> </w:t>
      </w:r>
      <w:r w:rsidR="00267281">
        <w:rPr>
          <w:rFonts w:cstheme="minorHAnsi"/>
          <w:b/>
          <w:sz w:val="28"/>
        </w:rPr>
        <w:t>TRANSFER PROCESS</w:t>
      </w:r>
    </w:p>
    <w:p w:rsidR="003847F0" w:rsidRDefault="003847F0" w:rsidP="00B07C00">
      <w:pPr>
        <w:spacing w:after="0" w:line="240" w:lineRule="auto"/>
        <w:rPr>
          <w:rFonts w:cstheme="minorHAnsi"/>
          <w:i/>
        </w:rPr>
      </w:pPr>
      <w:r>
        <w:rPr>
          <w:rFonts w:cstheme="minorHAnsi"/>
          <w:i/>
        </w:rPr>
        <w:t>(</w:t>
      </w:r>
      <w:r w:rsidRPr="003847F0">
        <w:rPr>
          <w:rFonts w:cstheme="minorHAnsi"/>
          <w:i/>
        </w:rPr>
        <w:t xml:space="preserve">Process for </w:t>
      </w:r>
      <w:r>
        <w:rPr>
          <w:rFonts w:cstheme="minorHAnsi"/>
          <w:i/>
        </w:rPr>
        <w:t xml:space="preserve">transferring </w:t>
      </w:r>
      <w:r w:rsidR="003F621D">
        <w:rPr>
          <w:rFonts w:cstheme="minorHAnsi"/>
          <w:i/>
        </w:rPr>
        <w:t>mutual fund</w:t>
      </w:r>
      <w:r w:rsidRPr="003847F0">
        <w:rPr>
          <w:rFonts w:cstheme="minorHAnsi"/>
          <w:i/>
        </w:rPr>
        <w:t xml:space="preserve"> holdings held by client </w:t>
      </w:r>
      <w:r>
        <w:rPr>
          <w:rFonts w:cstheme="minorHAnsi"/>
          <w:i/>
        </w:rPr>
        <w:t xml:space="preserve">in </w:t>
      </w:r>
      <w:r w:rsidRPr="003847F0">
        <w:rPr>
          <w:rFonts w:cstheme="minorHAnsi"/>
          <w:i/>
        </w:rPr>
        <w:t>a non-SK ARN code to SK ARN code</w:t>
      </w:r>
      <w:r>
        <w:rPr>
          <w:rFonts w:cstheme="minorHAnsi"/>
          <w:i/>
        </w:rPr>
        <w:t>)</w:t>
      </w:r>
    </w:p>
    <w:p w:rsidR="003847F0" w:rsidRPr="003847F0" w:rsidRDefault="003847F0" w:rsidP="00B07C00">
      <w:pPr>
        <w:spacing w:after="0" w:line="240" w:lineRule="auto"/>
        <w:rPr>
          <w:rFonts w:cstheme="minorHAnsi"/>
          <w:i/>
        </w:rPr>
      </w:pPr>
    </w:p>
    <w:p w:rsidR="003847F0" w:rsidRDefault="003847F0" w:rsidP="00B07C00">
      <w:pPr>
        <w:spacing w:after="0" w:line="240" w:lineRule="auto"/>
        <w:rPr>
          <w:rFonts w:cstheme="minorHAnsi"/>
          <w:b/>
        </w:rPr>
      </w:pPr>
      <w:r>
        <w:rPr>
          <w:rFonts w:cstheme="minorHAnsi"/>
          <w:b/>
        </w:rPr>
        <w:t>Some benefits of ARN Transfer:</w:t>
      </w:r>
    </w:p>
    <w:p w:rsidR="003847F0" w:rsidRDefault="003847F0" w:rsidP="003847F0">
      <w:pPr>
        <w:pStyle w:val="ListParagraph"/>
        <w:numPr>
          <w:ilvl w:val="0"/>
          <w:numId w:val="2"/>
        </w:numPr>
        <w:spacing w:after="0" w:line="240" w:lineRule="auto"/>
        <w:rPr>
          <w:rFonts w:cstheme="minorHAnsi"/>
        </w:rPr>
      </w:pPr>
      <w:r w:rsidRPr="003847F0">
        <w:rPr>
          <w:rFonts w:cstheme="minorHAnsi"/>
        </w:rPr>
        <w:t>Clients can have a consolidated view of their holdings</w:t>
      </w:r>
    </w:p>
    <w:p w:rsidR="00AA5285" w:rsidRPr="003847F0" w:rsidRDefault="00AA5285" w:rsidP="003847F0">
      <w:pPr>
        <w:pStyle w:val="ListParagraph"/>
        <w:numPr>
          <w:ilvl w:val="0"/>
          <w:numId w:val="2"/>
        </w:numPr>
        <w:spacing w:after="0" w:line="240" w:lineRule="auto"/>
        <w:rPr>
          <w:rFonts w:cstheme="minorHAnsi"/>
        </w:rPr>
      </w:pPr>
      <w:r>
        <w:rPr>
          <w:rFonts w:cstheme="minorHAnsi"/>
        </w:rPr>
        <w:t>Easy to track portfolio performance</w:t>
      </w:r>
    </w:p>
    <w:p w:rsidR="003847F0" w:rsidRDefault="003847F0" w:rsidP="003847F0">
      <w:pPr>
        <w:pStyle w:val="ListParagraph"/>
        <w:numPr>
          <w:ilvl w:val="0"/>
          <w:numId w:val="2"/>
        </w:numPr>
        <w:spacing w:after="0" w:line="240" w:lineRule="auto"/>
        <w:rPr>
          <w:rFonts w:cstheme="minorHAnsi"/>
        </w:rPr>
      </w:pPr>
      <w:r w:rsidRPr="003847F0">
        <w:rPr>
          <w:rFonts w:cstheme="minorHAnsi"/>
        </w:rPr>
        <w:t>Helps view tax related information such as capital gains/loss statement, ELSS investments and dividend information</w:t>
      </w:r>
    </w:p>
    <w:p w:rsidR="003847F0" w:rsidRDefault="003847F0" w:rsidP="003847F0">
      <w:pPr>
        <w:pStyle w:val="ListParagraph"/>
        <w:numPr>
          <w:ilvl w:val="0"/>
          <w:numId w:val="2"/>
        </w:numPr>
        <w:spacing w:after="0" w:line="240" w:lineRule="auto"/>
        <w:rPr>
          <w:rFonts w:cstheme="minorHAnsi"/>
        </w:rPr>
      </w:pPr>
      <w:r>
        <w:rPr>
          <w:rFonts w:cstheme="minorHAnsi"/>
        </w:rPr>
        <w:t>Enables portfolio review activity and conversation with clients at an overall portfolio level</w:t>
      </w:r>
    </w:p>
    <w:p w:rsidR="003847F0" w:rsidRDefault="003847F0" w:rsidP="003847F0">
      <w:pPr>
        <w:spacing w:after="0" w:line="240" w:lineRule="auto"/>
        <w:rPr>
          <w:rFonts w:cstheme="minorHAnsi"/>
        </w:rPr>
      </w:pPr>
    </w:p>
    <w:p w:rsidR="0068624B" w:rsidRPr="00B07C00" w:rsidRDefault="0068624B" w:rsidP="00B07C00">
      <w:pPr>
        <w:spacing w:after="0" w:line="240" w:lineRule="auto"/>
        <w:rPr>
          <w:rFonts w:cstheme="minorHAnsi"/>
          <w:b/>
        </w:rPr>
      </w:pPr>
      <w:r w:rsidRPr="00B07C00">
        <w:rPr>
          <w:rFonts w:cstheme="minorHAnsi"/>
          <w:b/>
        </w:rPr>
        <w:t xml:space="preserve">Process of MF holding Transfer from other Broker </w:t>
      </w:r>
      <w:r w:rsidR="003847F0">
        <w:rPr>
          <w:rFonts w:cstheme="minorHAnsi"/>
          <w:b/>
        </w:rPr>
        <w:t xml:space="preserve">(non SK ARN) </w:t>
      </w:r>
      <w:r w:rsidRPr="00B07C00">
        <w:rPr>
          <w:rFonts w:cstheme="minorHAnsi"/>
          <w:b/>
        </w:rPr>
        <w:t>to Sharekhan</w:t>
      </w:r>
      <w:r w:rsidR="003847F0">
        <w:rPr>
          <w:rFonts w:cstheme="minorHAnsi"/>
          <w:b/>
        </w:rPr>
        <w:t xml:space="preserve"> (under ARN-206</w:t>
      </w:r>
      <w:r w:rsidR="003F621D">
        <w:rPr>
          <w:rFonts w:cstheme="minorHAnsi"/>
          <w:b/>
        </w:rPr>
        <w:t>6</w:t>
      </w:r>
      <w:r w:rsidR="003847F0">
        <w:rPr>
          <w:rFonts w:cstheme="minorHAnsi"/>
          <w:b/>
        </w:rPr>
        <w:t>9)</w:t>
      </w:r>
    </w:p>
    <w:p w:rsidR="003F621D" w:rsidRPr="003F621D" w:rsidRDefault="003F621D" w:rsidP="003F621D">
      <w:pPr>
        <w:pStyle w:val="ListParagraph"/>
        <w:numPr>
          <w:ilvl w:val="0"/>
          <w:numId w:val="3"/>
        </w:numPr>
        <w:spacing w:after="0" w:line="240" w:lineRule="auto"/>
        <w:rPr>
          <w:rFonts w:cstheme="minorHAnsi"/>
        </w:rPr>
      </w:pPr>
      <w:r w:rsidRPr="003F621D">
        <w:rPr>
          <w:rFonts w:cstheme="minorHAnsi"/>
        </w:rPr>
        <w:t xml:space="preserve">Pre-conditions for ARN transfer in Sharekhan </w:t>
      </w:r>
    </w:p>
    <w:p w:rsidR="003F621D" w:rsidRPr="003F621D" w:rsidRDefault="003F621D" w:rsidP="003F621D">
      <w:pPr>
        <w:pStyle w:val="ListParagraph"/>
        <w:numPr>
          <w:ilvl w:val="1"/>
          <w:numId w:val="5"/>
        </w:numPr>
        <w:spacing w:after="0" w:line="240" w:lineRule="auto"/>
        <w:rPr>
          <w:rFonts w:cstheme="minorHAnsi"/>
        </w:rPr>
      </w:pPr>
      <w:r w:rsidRPr="003F621D">
        <w:rPr>
          <w:rFonts w:cstheme="minorHAnsi"/>
        </w:rPr>
        <w:t>Customer should have an online account with Sharekhan.</w:t>
      </w:r>
    </w:p>
    <w:p w:rsidR="003F621D" w:rsidRPr="003F621D" w:rsidRDefault="003F621D" w:rsidP="003F621D">
      <w:pPr>
        <w:pStyle w:val="ListParagraph"/>
        <w:numPr>
          <w:ilvl w:val="1"/>
          <w:numId w:val="5"/>
        </w:numPr>
        <w:spacing w:after="0" w:line="240" w:lineRule="auto"/>
        <w:rPr>
          <w:rFonts w:cstheme="minorHAnsi"/>
        </w:rPr>
      </w:pPr>
      <w:r w:rsidRPr="003F621D">
        <w:rPr>
          <w:rFonts w:cstheme="minorHAnsi"/>
        </w:rPr>
        <w:t>Tax status of the customer in existing online folio and in Sharekhan broking account must be same (e.g. Resident / Non-resident).</w:t>
      </w:r>
    </w:p>
    <w:p w:rsidR="003F621D" w:rsidRPr="003F621D" w:rsidRDefault="003F621D" w:rsidP="003F621D">
      <w:pPr>
        <w:pStyle w:val="ListParagraph"/>
        <w:numPr>
          <w:ilvl w:val="1"/>
          <w:numId w:val="5"/>
        </w:numPr>
        <w:spacing w:after="0" w:line="240" w:lineRule="auto"/>
        <w:rPr>
          <w:rFonts w:cstheme="minorHAnsi"/>
        </w:rPr>
      </w:pPr>
      <w:r w:rsidRPr="003F621D">
        <w:rPr>
          <w:rFonts w:cstheme="minorHAnsi"/>
        </w:rPr>
        <w:t>Customer’s mode of holding should be single.</w:t>
      </w:r>
    </w:p>
    <w:p w:rsidR="003F621D" w:rsidRPr="003F621D" w:rsidRDefault="003F621D" w:rsidP="003F621D">
      <w:pPr>
        <w:pStyle w:val="ListParagraph"/>
        <w:numPr>
          <w:ilvl w:val="1"/>
          <w:numId w:val="5"/>
        </w:numPr>
        <w:spacing w:after="0" w:line="240" w:lineRule="auto"/>
        <w:rPr>
          <w:rFonts w:cstheme="minorHAnsi"/>
        </w:rPr>
      </w:pPr>
      <w:r w:rsidRPr="003F621D">
        <w:rPr>
          <w:rFonts w:cstheme="minorHAnsi"/>
        </w:rPr>
        <w:t>Units should be in non-</w:t>
      </w:r>
      <w:r>
        <w:rPr>
          <w:rFonts w:cstheme="minorHAnsi"/>
        </w:rPr>
        <w:t>DEMAT</w:t>
      </w:r>
      <w:r w:rsidRPr="003F621D">
        <w:rPr>
          <w:rFonts w:cstheme="minorHAnsi"/>
        </w:rPr>
        <w:t xml:space="preserve"> mode</w:t>
      </w:r>
      <w:r w:rsidR="00EE4906" w:rsidRPr="007E1EF0">
        <w:rPr>
          <w:rFonts w:cstheme="minorHAnsi"/>
          <w:b/>
        </w:rPr>
        <w:t>*</w:t>
      </w:r>
      <w:r w:rsidRPr="003F621D">
        <w:rPr>
          <w:rFonts w:cstheme="minorHAnsi"/>
        </w:rPr>
        <w:t>.</w:t>
      </w:r>
    </w:p>
    <w:p w:rsidR="003F621D" w:rsidRPr="003F621D" w:rsidRDefault="003F621D" w:rsidP="003F621D">
      <w:pPr>
        <w:pStyle w:val="ListParagraph"/>
        <w:numPr>
          <w:ilvl w:val="1"/>
          <w:numId w:val="5"/>
        </w:numPr>
        <w:spacing w:after="0" w:line="240" w:lineRule="auto"/>
        <w:rPr>
          <w:rFonts w:cstheme="minorHAnsi"/>
        </w:rPr>
      </w:pPr>
      <w:r w:rsidRPr="003F621D">
        <w:rPr>
          <w:rFonts w:cstheme="minorHAnsi"/>
        </w:rPr>
        <w:t>Name of the investor in AMC records and KRA-KYC should be same.</w:t>
      </w:r>
    </w:p>
    <w:p w:rsidR="003F621D" w:rsidRPr="003F621D" w:rsidRDefault="003F621D" w:rsidP="003F621D">
      <w:pPr>
        <w:pStyle w:val="ListParagraph"/>
        <w:numPr>
          <w:ilvl w:val="1"/>
          <w:numId w:val="5"/>
        </w:numPr>
        <w:spacing w:after="0" w:line="240" w:lineRule="auto"/>
        <w:rPr>
          <w:rFonts w:cstheme="minorHAnsi"/>
        </w:rPr>
      </w:pPr>
      <w:r w:rsidRPr="003F621D">
        <w:rPr>
          <w:rFonts w:cstheme="minorHAnsi"/>
        </w:rPr>
        <w:t xml:space="preserve">PAN is updated in the folios </w:t>
      </w:r>
      <w:r>
        <w:rPr>
          <w:rFonts w:cstheme="minorHAnsi"/>
        </w:rPr>
        <w:t xml:space="preserve">that are </w:t>
      </w:r>
      <w:r w:rsidRPr="003F621D">
        <w:rPr>
          <w:rFonts w:cstheme="minorHAnsi"/>
        </w:rPr>
        <w:t>getting transferred.</w:t>
      </w:r>
    </w:p>
    <w:p w:rsidR="003F621D" w:rsidRDefault="003F621D" w:rsidP="00B07C00">
      <w:pPr>
        <w:spacing w:after="0" w:line="240" w:lineRule="auto"/>
        <w:rPr>
          <w:rFonts w:cstheme="minorHAnsi"/>
        </w:rPr>
      </w:pPr>
    </w:p>
    <w:p w:rsidR="00D97AF2" w:rsidRDefault="00EE4906" w:rsidP="00D97AF2">
      <w:pPr>
        <w:spacing w:after="0" w:line="240" w:lineRule="auto"/>
      </w:pPr>
      <w:r w:rsidRPr="007E1EF0">
        <w:rPr>
          <w:rFonts w:cstheme="minorHAnsi"/>
          <w:b/>
        </w:rPr>
        <w:t>*</w:t>
      </w:r>
      <w:r w:rsidR="00D97AF2">
        <w:rPr>
          <w:rFonts w:cstheme="minorHAnsi"/>
          <w:b/>
          <w:color w:val="FF0000"/>
        </w:rPr>
        <w:t xml:space="preserve"> </w:t>
      </w:r>
      <w:r w:rsidR="004D3610" w:rsidRPr="004D3610">
        <w:t xml:space="preserve">Only </w:t>
      </w:r>
      <w:r w:rsidR="004D3610">
        <w:t>b</w:t>
      </w:r>
      <w:r w:rsidR="00D97AF2">
        <w:t xml:space="preserve">elow mentioned AMCs are accept change of broker code of units held in Demat folios </w:t>
      </w:r>
    </w:p>
    <w:p w:rsidR="00D97AF2" w:rsidRDefault="00D97AF2" w:rsidP="00D97AF2">
      <w:pPr>
        <w:spacing w:after="0" w:line="240" w:lineRule="auto"/>
      </w:pPr>
    </w:p>
    <w:tbl>
      <w:tblPr>
        <w:tblW w:w="8996" w:type="dxa"/>
        <w:tblInd w:w="94" w:type="dxa"/>
        <w:tblLook w:val="04A0"/>
      </w:tblPr>
      <w:tblGrid>
        <w:gridCol w:w="3344"/>
        <w:gridCol w:w="1080"/>
        <w:gridCol w:w="360"/>
        <w:gridCol w:w="3048"/>
        <w:gridCol w:w="1164"/>
      </w:tblGrid>
      <w:tr w:rsidR="004C42B1" w:rsidRPr="004C42B1" w:rsidTr="004C42B1">
        <w:trPr>
          <w:trHeight w:val="310"/>
        </w:trPr>
        <w:tc>
          <w:tcPr>
            <w:tcW w:w="3344"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rsidR="004C42B1" w:rsidRPr="004C42B1" w:rsidRDefault="004C42B1" w:rsidP="004C42B1">
            <w:pPr>
              <w:spacing w:after="0" w:line="240" w:lineRule="auto"/>
              <w:jc w:val="center"/>
              <w:rPr>
                <w:rFonts w:ascii="Calibri" w:eastAsia="Times New Roman" w:hAnsi="Calibri" w:cs="Calibri"/>
                <w:b/>
                <w:bCs/>
                <w:color w:val="000000"/>
              </w:rPr>
            </w:pPr>
            <w:r w:rsidRPr="004C42B1">
              <w:rPr>
                <w:rFonts w:ascii="Calibri" w:eastAsia="Times New Roman" w:hAnsi="Calibri" w:cs="Calibri"/>
                <w:b/>
                <w:bCs/>
                <w:color w:val="000000"/>
              </w:rPr>
              <w:t>AMC</w:t>
            </w:r>
          </w:p>
        </w:tc>
        <w:tc>
          <w:tcPr>
            <w:tcW w:w="1080" w:type="dxa"/>
            <w:tcBorders>
              <w:top w:val="single" w:sz="8" w:space="0" w:color="auto"/>
              <w:left w:val="nil"/>
              <w:bottom w:val="single" w:sz="8" w:space="0" w:color="auto"/>
              <w:right w:val="single" w:sz="4" w:space="0" w:color="auto"/>
            </w:tcBorders>
            <w:shd w:val="clear" w:color="000000" w:fill="D9D9D9"/>
            <w:noWrap/>
            <w:vAlign w:val="bottom"/>
            <w:hideMark/>
          </w:tcPr>
          <w:p w:rsidR="004C42B1" w:rsidRPr="004C42B1" w:rsidRDefault="004C42B1" w:rsidP="004C42B1">
            <w:pPr>
              <w:spacing w:after="0" w:line="240" w:lineRule="auto"/>
              <w:jc w:val="center"/>
              <w:rPr>
                <w:rFonts w:ascii="Calibri" w:eastAsia="Times New Roman" w:hAnsi="Calibri" w:cs="Calibri"/>
                <w:b/>
                <w:bCs/>
                <w:color w:val="000000"/>
              </w:rPr>
            </w:pPr>
            <w:r w:rsidRPr="004C42B1">
              <w:rPr>
                <w:rFonts w:ascii="Calibri" w:eastAsia="Times New Roman" w:hAnsi="Calibri" w:cs="Calibri"/>
                <w:b/>
                <w:bCs/>
                <w:color w:val="000000"/>
              </w:rPr>
              <w:t>RTA</w:t>
            </w:r>
          </w:p>
        </w:tc>
        <w:tc>
          <w:tcPr>
            <w:tcW w:w="360" w:type="dxa"/>
            <w:vMerge w:val="restart"/>
            <w:tcBorders>
              <w:left w:val="single" w:sz="4" w:space="0" w:color="auto"/>
              <w:right w:val="single" w:sz="4" w:space="0" w:color="auto"/>
            </w:tcBorders>
            <w:shd w:val="clear" w:color="auto" w:fill="auto"/>
            <w:noWrap/>
            <w:vAlign w:val="bottom"/>
            <w:hideMark/>
          </w:tcPr>
          <w:p w:rsidR="004C42B1" w:rsidRPr="004C42B1" w:rsidRDefault="004C42B1" w:rsidP="004C42B1">
            <w:pPr>
              <w:spacing w:after="0" w:line="240" w:lineRule="auto"/>
              <w:jc w:val="center"/>
              <w:rPr>
                <w:rFonts w:ascii="Calibri" w:eastAsia="Times New Roman" w:hAnsi="Calibri" w:cs="Calibri"/>
                <w:b/>
                <w:bCs/>
                <w:color w:val="000000"/>
              </w:rPr>
            </w:pPr>
            <w:r w:rsidRPr="004C42B1">
              <w:rPr>
                <w:rFonts w:ascii="Calibri" w:eastAsia="Times New Roman" w:hAnsi="Calibri" w:cs="Calibri"/>
                <w:b/>
                <w:bCs/>
                <w:color w:val="000000"/>
              </w:rPr>
              <w:t> </w:t>
            </w:r>
          </w:p>
          <w:p w:rsidR="004C42B1" w:rsidRPr="004C42B1" w:rsidRDefault="004C42B1" w:rsidP="004C42B1">
            <w:pPr>
              <w:spacing w:after="0" w:line="240" w:lineRule="auto"/>
              <w:rPr>
                <w:rFonts w:ascii="Calibri" w:eastAsia="Times New Roman" w:hAnsi="Calibri" w:cs="Calibri"/>
                <w:color w:val="000000"/>
              </w:rPr>
            </w:pPr>
            <w:r w:rsidRPr="004C42B1">
              <w:rPr>
                <w:rFonts w:ascii="Calibri" w:eastAsia="Times New Roman" w:hAnsi="Calibri" w:cs="Calibri"/>
                <w:color w:val="000000"/>
              </w:rPr>
              <w:t> </w:t>
            </w:r>
          </w:p>
          <w:p w:rsidR="004C42B1" w:rsidRPr="004C42B1" w:rsidRDefault="004C42B1" w:rsidP="004C42B1">
            <w:pPr>
              <w:spacing w:after="0" w:line="240" w:lineRule="auto"/>
              <w:rPr>
                <w:rFonts w:ascii="Calibri" w:eastAsia="Times New Roman" w:hAnsi="Calibri" w:cs="Calibri"/>
                <w:color w:val="000000"/>
              </w:rPr>
            </w:pPr>
            <w:r w:rsidRPr="004C42B1">
              <w:rPr>
                <w:rFonts w:ascii="Calibri" w:eastAsia="Times New Roman" w:hAnsi="Calibri" w:cs="Calibri"/>
                <w:color w:val="000000"/>
              </w:rPr>
              <w:t> </w:t>
            </w:r>
          </w:p>
          <w:p w:rsidR="004C42B1" w:rsidRPr="004C42B1" w:rsidRDefault="004C42B1" w:rsidP="004C42B1">
            <w:pPr>
              <w:spacing w:after="0" w:line="240" w:lineRule="auto"/>
              <w:rPr>
                <w:rFonts w:ascii="Calibri" w:eastAsia="Times New Roman" w:hAnsi="Calibri" w:cs="Calibri"/>
                <w:color w:val="000000"/>
              </w:rPr>
            </w:pPr>
            <w:r w:rsidRPr="004C42B1">
              <w:rPr>
                <w:rFonts w:ascii="Calibri" w:eastAsia="Times New Roman" w:hAnsi="Calibri" w:cs="Calibri"/>
                <w:color w:val="000000"/>
              </w:rPr>
              <w:t> </w:t>
            </w:r>
          </w:p>
          <w:p w:rsidR="004C42B1" w:rsidRPr="004C42B1" w:rsidRDefault="004C42B1" w:rsidP="004C42B1">
            <w:pPr>
              <w:spacing w:after="0" w:line="240" w:lineRule="auto"/>
              <w:rPr>
                <w:rFonts w:ascii="Calibri" w:eastAsia="Times New Roman" w:hAnsi="Calibri" w:cs="Calibri"/>
                <w:color w:val="000000"/>
              </w:rPr>
            </w:pPr>
            <w:r w:rsidRPr="004C42B1">
              <w:rPr>
                <w:rFonts w:ascii="Calibri" w:eastAsia="Times New Roman" w:hAnsi="Calibri" w:cs="Calibri"/>
                <w:color w:val="000000"/>
              </w:rPr>
              <w:t> </w:t>
            </w:r>
          </w:p>
          <w:p w:rsidR="004C42B1" w:rsidRPr="004C42B1" w:rsidRDefault="004C42B1" w:rsidP="004C42B1">
            <w:pPr>
              <w:spacing w:after="0" w:line="240" w:lineRule="auto"/>
              <w:rPr>
                <w:rFonts w:ascii="Calibri" w:eastAsia="Times New Roman" w:hAnsi="Calibri" w:cs="Calibri"/>
                <w:color w:val="000000"/>
              </w:rPr>
            </w:pPr>
            <w:r w:rsidRPr="004C42B1">
              <w:rPr>
                <w:rFonts w:ascii="Calibri" w:eastAsia="Times New Roman" w:hAnsi="Calibri" w:cs="Calibri"/>
                <w:color w:val="000000"/>
              </w:rPr>
              <w:t> </w:t>
            </w:r>
          </w:p>
          <w:p w:rsidR="004C42B1" w:rsidRPr="004C42B1" w:rsidRDefault="004C42B1" w:rsidP="004C42B1">
            <w:pPr>
              <w:spacing w:after="0" w:line="240" w:lineRule="auto"/>
              <w:rPr>
                <w:rFonts w:ascii="Calibri" w:eastAsia="Times New Roman" w:hAnsi="Calibri" w:cs="Calibri"/>
                <w:b/>
                <w:bCs/>
                <w:color w:val="000000"/>
              </w:rPr>
            </w:pPr>
            <w:r w:rsidRPr="004C42B1">
              <w:rPr>
                <w:rFonts w:ascii="Calibri" w:eastAsia="Times New Roman" w:hAnsi="Calibri" w:cs="Calibri"/>
                <w:color w:val="000000"/>
              </w:rPr>
              <w:t> </w:t>
            </w:r>
          </w:p>
        </w:tc>
        <w:tc>
          <w:tcPr>
            <w:tcW w:w="3048" w:type="dxa"/>
            <w:tcBorders>
              <w:top w:val="single" w:sz="8" w:space="0" w:color="auto"/>
              <w:left w:val="single" w:sz="4" w:space="0" w:color="auto"/>
              <w:bottom w:val="single" w:sz="8" w:space="0" w:color="auto"/>
              <w:right w:val="single" w:sz="8" w:space="0" w:color="auto"/>
            </w:tcBorders>
            <w:shd w:val="clear" w:color="000000" w:fill="D9D9D9"/>
            <w:noWrap/>
            <w:vAlign w:val="bottom"/>
            <w:hideMark/>
          </w:tcPr>
          <w:p w:rsidR="004C42B1" w:rsidRPr="004C42B1" w:rsidRDefault="004C42B1" w:rsidP="004C42B1">
            <w:pPr>
              <w:spacing w:after="0" w:line="240" w:lineRule="auto"/>
              <w:jc w:val="center"/>
              <w:rPr>
                <w:rFonts w:ascii="Calibri" w:eastAsia="Times New Roman" w:hAnsi="Calibri" w:cs="Calibri"/>
                <w:b/>
                <w:bCs/>
                <w:color w:val="000000"/>
              </w:rPr>
            </w:pPr>
            <w:r w:rsidRPr="004C42B1">
              <w:rPr>
                <w:rFonts w:ascii="Calibri" w:eastAsia="Times New Roman" w:hAnsi="Calibri" w:cs="Calibri"/>
                <w:b/>
                <w:bCs/>
                <w:color w:val="000000"/>
              </w:rPr>
              <w:t>AMC</w:t>
            </w:r>
          </w:p>
        </w:tc>
        <w:tc>
          <w:tcPr>
            <w:tcW w:w="1164" w:type="dxa"/>
            <w:tcBorders>
              <w:top w:val="single" w:sz="8" w:space="0" w:color="auto"/>
              <w:left w:val="nil"/>
              <w:bottom w:val="single" w:sz="8" w:space="0" w:color="auto"/>
              <w:right w:val="single" w:sz="8" w:space="0" w:color="auto"/>
            </w:tcBorders>
            <w:shd w:val="clear" w:color="000000" w:fill="D9D9D9"/>
            <w:noWrap/>
            <w:vAlign w:val="bottom"/>
            <w:hideMark/>
          </w:tcPr>
          <w:p w:rsidR="004C42B1" w:rsidRPr="004C42B1" w:rsidRDefault="004C42B1" w:rsidP="004C42B1">
            <w:pPr>
              <w:spacing w:after="0" w:line="240" w:lineRule="auto"/>
              <w:jc w:val="center"/>
              <w:rPr>
                <w:rFonts w:ascii="Calibri" w:eastAsia="Times New Roman" w:hAnsi="Calibri" w:cs="Calibri"/>
                <w:b/>
                <w:bCs/>
                <w:color w:val="000000"/>
              </w:rPr>
            </w:pPr>
            <w:r w:rsidRPr="004C42B1">
              <w:rPr>
                <w:rFonts w:ascii="Calibri" w:eastAsia="Times New Roman" w:hAnsi="Calibri" w:cs="Calibri"/>
                <w:b/>
                <w:bCs/>
                <w:color w:val="000000"/>
              </w:rPr>
              <w:t>RTA</w:t>
            </w:r>
          </w:p>
        </w:tc>
      </w:tr>
      <w:tr w:rsidR="004C42B1" w:rsidRPr="004C42B1" w:rsidTr="004C42B1">
        <w:trPr>
          <w:trHeight w:val="310"/>
        </w:trPr>
        <w:tc>
          <w:tcPr>
            <w:tcW w:w="3344" w:type="dxa"/>
            <w:tcBorders>
              <w:top w:val="nil"/>
              <w:left w:val="single" w:sz="8" w:space="0" w:color="auto"/>
              <w:bottom w:val="single" w:sz="8" w:space="0" w:color="auto"/>
              <w:right w:val="single" w:sz="8" w:space="0" w:color="auto"/>
            </w:tcBorders>
            <w:shd w:val="clear" w:color="auto" w:fill="auto"/>
            <w:noWrap/>
            <w:vAlign w:val="bottom"/>
            <w:hideMark/>
          </w:tcPr>
          <w:p w:rsidR="004C42B1" w:rsidRPr="004C42B1" w:rsidRDefault="004C42B1" w:rsidP="004C42B1">
            <w:pPr>
              <w:spacing w:after="0" w:line="240" w:lineRule="auto"/>
              <w:rPr>
                <w:rFonts w:ascii="Calibri" w:eastAsia="Times New Roman" w:hAnsi="Calibri" w:cs="Calibri"/>
                <w:color w:val="000000"/>
              </w:rPr>
            </w:pPr>
            <w:r w:rsidRPr="004C42B1">
              <w:rPr>
                <w:rFonts w:ascii="Calibri" w:eastAsia="Times New Roman" w:hAnsi="Calibri" w:cs="Calibri"/>
                <w:color w:val="000000"/>
              </w:rPr>
              <w:t>Aditya Birla SL Mutual Fund</w:t>
            </w:r>
          </w:p>
        </w:tc>
        <w:tc>
          <w:tcPr>
            <w:tcW w:w="1080" w:type="dxa"/>
            <w:tcBorders>
              <w:top w:val="single" w:sz="8" w:space="0" w:color="auto"/>
              <w:left w:val="nil"/>
              <w:bottom w:val="single" w:sz="8" w:space="0" w:color="auto"/>
              <w:right w:val="single" w:sz="4" w:space="0" w:color="auto"/>
            </w:tcBorders>
            <w:shd w:val="clear" w:color="auto" w:fill="auto"/>
            <w:noWrap/>
            <w:vAlign w:val="bottom"/>
            <w:hideMark/>
          </w:tcPr>
          <w:p w:rsidR="004C42B1" w:rsidRPr="004C42B1" w:rsidRDefault="004C42B1" w:rsidP="004C42B1">
            <w:pPr>
              <w:spacing w:after="0" w:line="240" w:lineRule="auto"/>
              <w:rPr>
                <w:rFonts w:ascii="Calibri" w:eastAsia="Times New Roman" w:hAnsi="Calibri" w:cs="Calibri"/>
                <w:color w:val="000000"/>
              </w:rPr>
            </w:pPr>
            <w:r w:rsidRPr="004C42B1">
              <w:rPr>
                <w:rFonts w:ascii="Calibri" w:eastAsia="Times New Roman" w:hAnsi="Calibri" w:cs="Calibri"/>
                <w:color w:val="000000"/>
              </w:rPr>
              <w:t>CAMS</w:t>
            </w:r>
          </w:p>
        </w:tc>
        <w:tc>
          <w:tcPr>
            <w:tcW w:w="360" w:type="dxa"/>
            <w:vMerge/>
            <w:tcBorders>
              <w:left w:val="single" w:sz="4" w:space="0" w:color="auto"/>
              <w:right w:val="single" w:sz="4" w:space="0" w:color="auto"/>
            </w:tcBorders>
            <w:shd w:val="clear" w:color="auto" w:fill="auto"/>
            <w:noWrap/>
            <w:vAlign w:val="bottom"/>
            <w:hideMark/>
          </w:tcPr>
          <w:p w:rsidR="004C42B1" w:rsidRPr="004C42B1" w:rsidRDefault="004C42B1" w:rsidP="004C42B1">
            <w:pPr>
              <w:spacing w:after="0" w:line="240" w:lineRule="auto"/>
              <w:rPr>
                <w:rFonts w:ascii="Calibri" w:eastAsia="Times New Roman" w:hAnsi="Calibri" w:cs="Calibri"/>
                <w:color w:val="000000"/>
              </w:rPr>
            </w:pPr>
          </w:p>
        </w:tc>
        <w:tc>
          <w:tcPr>
            <w:tcW w:w="3048"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4C42B1" w:rsidRPr="004C42B1" w:rsidRDefault="004C42B1" w:rsidP="004C42B1">
            <w:pPr>
              <w:spacing w:after="0" w:line="240" w:lineRule="auto"/>
              <w:rPr>
                <w:rFonts w:ascii="Calibri" w:eastAsia="Times New Roman" w:hAnsi="Calibri" w:cs="Calibri"/>
                <w:color w:val="000000"/>
              </w:rPr>
            </w:pPr>
            <w:r w:rsidRPr="004C42B1">
              <w:rPr>
                <w:rFonts w:ascii="Calibri" w:eastAsia="Times New Roman" w:hAnsi="Calibri" w:cs="Calibri"/>
                <w:color w:val="000000"/>
              </w:rPr>
              <w:t>Kotak Mutual Fund</w:t>
            </w:r>
          </w:p>
        </w:tc>
        <w:tc>
          <w:tcPr>
            <w:tcW w:w="1164" w:type="dxa"/>
            <w:tcBorders>
              <w:top w:val="nil"/>
              <w:left w:val="nil"/>
              <w:bottom w:val="single" w:sz="8" w:space="0" w:color="auto"/>
              <w:right w:val="single" w:sz="8" w:space="0" w:color="auto"/>
            </w:tcBorders>
            <w:shd w:val="clear" w:color="auto" w:fill="auto"/>
            <w:noWrap/>
            <w:vAlign w:val="bottom"/>
            <w:hideMark/>
          </w:tcPr>
          <w:p w:rsidR="004C42B1" w:rsidRPr="004C42B1" w:rsidRDefault="004C42B1" w:rsidP="004C42B1">
            <w:pPr>
              <w:spacing w:after="0" w:line="240" w:lineRule="auto"/>
              <w:rPr>
                <w:rFonts w:ascii="Calibri" w:eastAsia="Times New Roman" w:hAnsi="Calibri" w:cs="Calibri"/>
                <w:color w:val="000000"/>
              </w:rPr>
            </w:pPr>
            <w:r w:rsidRPr="004C42B1">
              <w:rPr>
                <w:rFonts w:ascii="Calibri" w:eastAsia="Times New Roman" w:hAnsi="Calibri" w:cs="Calibri"/>
                <w:color w:val="000000"/>
              </w:rPr>
              <w:t>CAMS</w:t>
            </w:r>
          </w:p>
        </w:tc>
      </w:tr>
      <w:tr w:rsidR="004C42B1" w:rsidRPr="004C42B1" w:rsidTr="004C42B1">
        <w:trPr>
          <w:trHeight w:val="310"/>
        </w:trPr>
        <w:tc>
          <w:tcPr>
            <w:tcW w:w="3344" w:type="dxa"/>
            <w:tcBorders>
              <w:top w:val="nil"/>
              <w:left w:val="single" w:sz="8" w:space="0" w:color="auto"/>
              <w:bottom w:val="single" w:sz="8" w:space="0" w:color="auto"/>
              <w:right w:val="single" w:sz="8" w:space="0" w:color="auto"/>
            </w:tcBorders>
            <w:shd w:val="clear" w:color="auto" w:fill="auto"/>
            <w:noWrap/>
            <w:vAlign w:val="bottom"/>
            <w:hideMark/>
          </w:tcPr>
          <w:p w:rsidR="004C42B1" w:rsidRPr="004C42B1" w:rsidRDefault="004C42B1" w:rsidP="004C42B1">
            <w:pPr>
              <w:spacing w:after="0" w:line="240" w:lineRule="auto"/>
              <w:rPr>
                <w:rFonts w:ascii="Calibri" w:eastAsia="Times New Roman" w:hAnsi="Calibri" w:cs="Calibri"/>
                <w:color w:val="000000"/>
              </w:rPr>
            </w:pPr>
            <w:r w:rsidRPr="004C42B1">
              <w:rPr>
                <w:rFonts w:ascii="Calibri" w:eastAsia="Times New Roman" w:hAnsi="Calibri" w:cs="Calibri"/>
                <w:color w:val="000000"/>
              </w:rPr>
              <w:t>DSP Mutual Fund</w:t>
            </w:r>
          </w:p>
        </w:tc>
        <w:tc>
          <w:tcPr>
            <w:tcW w:w="1080" w:type="dxa"/>
            <w:tcBorders>
              <w:top w:val="single" w:sz="8" w:space="0" w:color="auto"/>
              <w:left w:val="nil"/>
              <w:bottom w:val="single" w:sz="8" w:space="0" w:color="auto"/>
              <w:right w:val="single" w:sz="4" w:space="0" w:color="auto"/>
            </w:tcBorders>
            <w:shd w:val="clear" w:color="auto" w:fill="auto"/>
            <w:noWrap/>
            <w:vAlign w:val="bottom"/>
            <w:hideMark/>
          </w:tcPr>
          <w:p w:rsidR="004C42B1" w:rsidRPr="004C42B1" w:rsidRDefault="004C42B1" w:rsidP="004C42B1">
            <w:pPr>
              <w:spacing w:after="0" w:line="240" w:lineRule="auto"/>
              <w:rPr>
                <w:rFonts w:ascii="Calibri" w:eastAsia="Times New Roman" w:hAnsi="Calibri" w:cs="Calibri"/>
                <w:color w:val="000000"/>
              </w:rPr>
            </w:pPr>
            <w:r w:rsidRPr="004C42B1">
              <w:rPr>
                <w:rFonts w:ascii="Calibri" w:eastAsia="Times New Roman" w:hAnsi="Calibri" w:cs="Calibri"/>
                <w:color w:val="000000"/>
              </w:rPr>
              <w:t>CAMS</w:t>
            </w:r>
          </w:p>
        </w:tc>
        <w:tc>
          <w:tcPr>
            <w:tcW w:w="360" w:type="dxa"/>
            <w:vMerge/>
            <w:tcBorders>
              <w:left w:val="single" w:sz="4" w:space="0" w:color="auto"/>
              <w:right w:val="single" w:sz="4" w:space="0" w:color="auto"/>
            </w:tcBorders>
            <w:shd w:val="clear" w:color="auto" w:fill="auto"/>
            <w:noWrap/>
            <w:vAlign w:val="bottom"/>
            <w:hideMark/>
          </w:tcPr>
          <w:p w:rsidR="004C42B1" w:rsidRPr="004C42B1" w:rsidRDefault="004C42B1" w:rsidP="004C42B1">
            <w:pPr>
              <w:spacing w:after="0" w:line="240" w:lineRule="auto"/>
              <w:rPr>
                <w:rFonts w:ascii="Calibri" w:eastAsia="Times New Roman" w:hAnsi="Calibri" w:cs="Calibri"/>
                <w:color w:val="000000"/>
              </w:rPr>
            </w:pPr>
          </w:p>
        </w:tc>
        <w:tc>
          <w:tcPr>
            <w:tcW w:w="3048"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4C42B1" w:rsidRPr="004C42B1" w:rsidRDefault="004C42B1" w:rsidP="004C42B1">
            <w:pPr>
              <w:spacing w:after="0" w:line="240" w:lineRule="auto"/>
              <w:rPr>
                <w:rFonts w:ascii="Calibri" w:eastAsia="Times New Roman" w:hAnsi="Calibri" w:cs="Calibri"/>
                <w:color w:val="000000"/>
              </w:rPr>
            </w:pPr>
            <w:r w:rsidRPr="004C42B1">
              <w:rPr>
                <w:rFonts w:ascii="Calibri" w:eastAsia="Times New Roman" w:hAnsi="Calibri" w:cs="Calibri"/>
                <w:color w:val="000000"/>
              </w:rPr>
              <w:t>Mirae Mutual Fund</w:t>
            </w:r>
          </w:p>
        </w:tc>
        <w:tc>
          <w:tcPr>
            <w:tcW w:w="1164" w:type="dxa"/>
            <w:tcBorders>
              <w:top w:val="nil"/>
              <w:left w:val="nil"/>
              <w:bottom w:val="single" w:sz="8" w:space="0" w:color="auto"/>
              <w:right w:val="single" w:sz="8" w:space="0" w:color="auto"/>
            </w:tcBorders>
            <w:shd w:val="clear" w:color="auto" w:fill="auto"/>
            <w:noWrap/>
            <w:vAlign w:val="bottom"/>
            <w:hideMark/>
          </w:tcPr>
          <w:p w:rsidR="004C42B1" w:rsidRPr="004C42B1" w:rsidRDefault="004C42B1" w:rsidP="004C42B1">
            <w:pPr>
              <w:spacing w:after="0" w:line="240" w:lineRule="auto"/>
              <w:rPr>
                <w:rFonts w:ascii="Calibri" w:eastAsia="Times New Roman" w:hAnsi="Calibri" w:cs="Calibri"/>
                <w:color w:val="000000"/>
              </w:rPr>
            </w:pPr>
            <w:r w:rsidRPr="004C42B1">
              <w:rPr>
                <w:rFonts w:ascii="Calibri" w:eastAsia="Times New Roman" w:hAnsi="Calibri" w:cs="Calibri"/>
                <w:color w:val="000000"/>
              </w:rPr>
              <w:t>KARVY</w:t>
            </w:r>
          </w:p>
        </w:tc>
      </w:tr>
      <w:tr w:rsidR="004C42B1" w:rsidRPr="004C42B1" w:rsidTr="004C42B1">
        <w:trPr>
          <w:trHeight w:val="310"/>
        </w:trPr>
        <w:tc>
          <w:tcPr>
            <w:tcW w:w="3344" w:type="dxa"/>
            <w:tcBorders>
              <w:top w:val="nil"/>
              <w:left w:val="single" w:sz="8" w:space="0" w:color="auto"/>
              <w:bottom w:val="single" w:sz="8" w:space="0" w:color="auto"/>
              <w:right w:val="single" w:sz="8" w:space="0" w:color="auto"/>
            </w:tcBorders>
            <w:shd w:val="clear" w:color="auto" w:fill="auto"/>
            <w:noWrap/>
            <w:vAlign w:val="bottom"/>
            <w:hideMark/>
          </w:tcPr>
          <w:p w:rsidR="004C42B1" w:rsidRPr="004C42B1" w:rsidRDefault="004C42B1" w:rsidP="004C42B1">
            <w:pPr>
              <w:spacing w:after="0" w:line="240" w:lineRule="auto"/>
              <w:rPr>
                <w:rFonts w:ascii="Calibri" w:eastAsia="Times New Roman" w:hAnsi="Calibri" w:cs="Calibri"/>
                <w:color w:val="000000"/>
              </w:rPr>
            </w:pPr>
            <w:r w:rsidRPr="004C42B1">
              <w:rPr>
                <w:rFonts w:ascii="Calibri" w:eastAsia="Times New Roman" w:hAnsi="Calibri" w:cs="Calibri"/>
                <w:color w:val="000000"/>
              </w:rPr>
              <w:t xml:space="preserve">Franklin Templeton Mutual </w:t>
            </w:r>
            <w:r>
              <w:rPr>
                <w:rFonts w:ascii="Calibri" w:eastAsia="Times New Roman" w:hAnsi="Calibri" w:cs="Calibri"/>
                <w:color w:val="000000"/>
              </w:rPr>
              <w:t>F</w:t>
            </w:r>
            <w:r w:rsidRPr="004C42B1">
              <w:rPr>
                <w:rFonts w:ascii="Calibri" w:eastAsia="Times New Roman" w:hAnsi="Calibri" w:cs="Calibri"/>
                <w:color w:val="000000"/>
              </w:rPr>
              <w:t>und</w:t>
            </w:r>
          </w:p>
        </w:tc>
        <w:tc>
          <w:tcPr>
            <w:tcW w:w="1080" w:type="dxa"/>
            <w:tcBorders>
              <w:top w:val="single" w:sz="8" w:space="0" w:color="auto"/>
              <w:left w:val="nil"/>
              <w:bottom w:val="single" w:sz="8" w:space="0" w:color="auto"/>
              <w:right w:val="single" w:sz="4" w:space="0" w:color="auto"/>
            </w:tcBorders>
            <w:shd w:val="clear" w:color="auto" w:fill="auto"/>
            <w:noWrap/>
            <w:vAlign w:val="bottom"/>
            <w:hideMark/>
          </w:tcPr>
          <w:p w:rsidR="004C42B1" w:rsidRPr="004C42B1" w:rsidRDefault="004C42B1" w:rsidP="004C42B1">
            <w:pPr>
              <w:spacing w:after="0" w:line="240" w:lineRule="auto"/>
              <w:rPr>
                <w:rFonts w:ascii="Calibri" w:eastAsia="Times New Roman" w:hAnsi="Calibri" w:cs="Calibri"/>
                <w:color w:val="000000"/>
              </w:rPr>
            </w:pPr>
            <w:r w:rsidRPr="004C42B1">
              <w:rPr>
                <w:rFonts w:ascii="Calibri" w:eastAsia="Times New Roman" w:hAnsi="Calibri" w:cs="Calibri"/>
                <w:color w:val="000000"/>
              </w:rPr>
              <w:t xml:space="preserve">  FT</w:t>
            </w:r>
          </w:p>
        </w:tc>
        <w:tc>
          <w:tcPr>
            <w:tcW w:w="360" w:type="dxa"/>
            <w:vMerge/>
            <w:tcBorders>
              <w:left w:val="single" w:sz="4" w:space="0" w:color="auto"/>
              <w:right w:val="single" w:sz="4" w:space="0" w:color="auto"/>
            </w:tcBorders>
            <w:shd w:val="clear" w:color="auto" w:fill="auto"/>
            <w:noWrap/>
            <w:vAlign w:val="bottom"/>
            <w:hideMark/>
          </w:tcPr>
          <w:p w:rsidR="004C42B1" w:rsidRPr="004C42B1" w:rsidRDefault="004C42B1" w:rsidP="004C42B1">
            <w:pPr>
              <w:spacing w:after="0" w:line="240" w:lineRule="auto"/>
              <w:rPr>
                <w:rFonts w:ascii="Calibri" w:eastAsia="Times New Roman" w:hAnsi="Calibri" w:cs="Calibri"/>
                <w:color w:val="000000"/>
              </w:rPr>
            </w:pPr>
          </w:p>
        </w:tc>
        <w:tc>
          <w:tcPr>
            <w:tcW w:w="3048"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4C42B1" w:rsidRPr="004C42B1" w:rsidRDefault="004C42B1" w:rsidP="004C42B1">
            <w:pPr>
              <w:spacing w:after="0" w:line="240" w:lineRule="auto"/>
              <w:rPr>
                <w:rFonts w:ascii="Calibri" w:eastAsia="Times New Roman" w:hAnsi="Calibri" w:cs="Calibri"/>
                <w:color w:val="000000"/>
              </w:rPr>
            </w:pPr>
            <w:r w:rsidRPr="004C42B1">
              <w:rPr>
                <w:rFonts w:ascii="Calibri" w:eastAsia="Times New Roman" w:hAnsi="Calibri" w:cs="Calibri"/>
                <w:color w:val="000000"/>
              </w:rPr>
              <w:t>Nippon Mutual fund</w:t>
            </w:r>
          </w:p>
        </w:tc>
        <w:tc>
          <w:tcPr>
            <w:tcW w:w="1164" w:type="dxa"/>
            <w:tcBorders>
              <w:top w:val="nil"/>
              <w:left w:val="nil"/>
              <w:bottom w:val="single" w:sz="8" w:space="0" w:color="auto"/>
              <w:right w:val="single" w:sz="8" w:space="0" w:color="auto"/>
            </w:tcBorders>
            <w:shd w:val="clear" w:color="auto" w:fill="auto"/>
            <w:noWrap/>
            <w:vAlign w:val="bottom"/>
            <w:hideMark/>
          </w:tcPr>
          <w:p w:rsidR="004C42B1" w:rsidRPr="004C42B1" w:rsidRDefault="004C42B1" w:rsidP="004C42B1">
            <w:pPr>
              <w:spacing w:after="0" w:line="240" w:lineRule="auto"/>
              <w:rPr>
                <w:rFonts w:ascii="Calibri" w:eastAsia="Times New Roman" w:hAnsi="Calibri" w:cs="Calibri"/>
                <w:color w:val="000000"/>
              </w:rPr>
            </w:pPr>
            <w:r w:rsidRPr="004C42B1">
              <w:rPr>
                <w:rFonts w:ascii="Calibri" w:eastAsia="Times New Roman" w:hAnsi="Calibri" w:cs="Calibri"/>
                <w:color w:val="000000"/>
              </w:rPr>
              <w:t>KARVY</w:t>
            </w:r>
          </w:p>
        </w:tc>
      </w:tr>
      <w:tr w:rsidR="004C42B1" w:rsidRPr="004C42B1" w:rsidTr="004C42B1">
        <w:trPr>
          <w:trHeight w:val="310"/>
        </w:trPr>
        <w:tc>
          <w:tcPr>
            <w:tcW w:w="3344" w:type="dxa"/>
            <w:tcBorders>
              <w:top w:val="nil"/>
              <w:left w:val="single" w:sz="8" w:space="0" w:color="auto"/>
              <w:bottom w:val="single" w:sz="8" w:space="0" w:color="auto"/>
              <w:right w:val="single" w:sz="8" w:space="0" w:color="auto"/>
            </w:tcBorders>
            <w:shd w:val="clear" w:color="auto" w:fill="auto"/>
            <w:noWrap/>
            <w:vAlign w:val="bottom"/>
            <w:hideMark/>
          </w:tcPr>
          <w:p w:rsidR="004C42B1" w:rsidRPr="004C42B1" w:rsidRDefault="004C42B1" w:rsidP="004C42B1">
            <w:pPr>
              <w:spacing w:after="0" w:line="240" w:lineRule="auto"/>
              <w:rPr>
                <w:rFonts w:ascii="Calibri" w:eastAsia="Times New Roman" w:hAnsi="Calibri" w:cs="Calibri"/>
                <w:color w:val="000000"/>
              </w:rPr>
            </w:pPr>
            <w:r w:rsidRPr="004C42B1">
              <w:rPr>
                <w:rFonts w:ascii="Calibri" w:eastAsia="Times New Roman" w:hAnsi="Calibri" w:cs="Calibri"/>
                <w:color w:val="000000"/>
              </w:rPr>
              <w:t>HDFC Mutual Fund</w:t>
            </w:r>
          </w:p>
        </w:tc>
        <w:tc>
          <w:tcPr>
            <w:tcW w:w="1080" w:type="dxa"/>
            <w:tcBorders>
              <w:top w:val="single" w:sz="8" w:space="0" w:color="auto"/>
              <w:left w:val="nil"/>
              <w:bottom w:val="single" w:sz="8" w:space="0" w:color="auto"/>
              <w:right w:val="single" w:sz="4" w:space="0" w:color="auto"/>
            </w:tcBorders>
            <w:shd w:val="clear" w:color="auto" w:fill="auto"/>
            <w:noWrap/>
            <w:vAlign w:val="bottom"/>
            <w:hideMark/>
          </w:tcPr>
          <w:p w:rsidR="004C42B1" w:rsidRPr="004C42B1" w:rsidRDefault="004C42B1" w:rsidP="004C42B1">
            <w:pPr>
              <w:spacing w:after="0" w:line="240" w:lineRule="auto"/>
              <w:rPr>
                <w:rFonts w:ascii="Calibri" w:eastAsia="Times New Roman" w:hAnsi="Calibri" w:cs="Calibri"/>
                <w:color w:val="000000"/>
              </w:rPr>
            </w:pPr>
            <w:r w:rsidRPr="004C42B1">
              <w:rPr>
                <w:rFonts w:ascii="Calibri" w:eastAsia="Times New Roman" w:hAnsi="Calibri" w:cs="Calibri"/>
                <w:color w:val="000000"/>
              </w:rPr>
              <w:t>CAMS</w:t>
            </w:r>
          </w:p>
        </w:tc>
        <w:tc>
          <w:tcPr>
            <w:tcW w:w="360" w:type="dxa"/>
            <w:vMerge/>
            <w:tcBorders>
              <w:left w:val="single" w:sz="4" w:space="0" w:color="auto"/>
              <w:right w:val="single" w:sz="4" w:space="0" w:color="auto"/>
            </w:tcBorders>
            <w:shd w:val="clear" w:color="auto" w:fill="auto"/>
            <w:noWrap/>
            <w:vAlign w:val="bottom"/>
            <w:hideMark/>
          </w:tcPr>
          <w:p w:rsidR="004C42B1" w:rsidRPr="004C42B1" w:rsidRDefault="004C42B1" w:rsidP="004C42B1">
            <w:pPr>
              <w:spacing w:after="0" w:line="240" w:lineRule="auto"/>
              <w:rPr>
                <w:rFonts w:ascii="Calibri" w:eastAsia="Times New Roman" w:hAnsi="Calibri" w:cs="Calibri"/>
                <w:color w:val="000000"/>
              </w:rPr>
            </w:pPr>
          </w:p>
        </w:tc>
        <w:tc>
          <w:tcPr>
            <w:tcW w:w="3048"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4C42B1" w:rsidRPr="004C42B1" w:rsidRDefault="004C42B1" w:rsidP="004C42B1">
            <w:pPr>
              <w:spacing w:after="0" w:line="240" w:lineRule="auto"/>
              <w:rPr>
                <w:rFonts w:ascii="Calibri" w:eastAsia="Times New Roman" w:hAnsi="Calibri" w:cs="Calibri"/>
                <w:color w:val="000000"/>
              </w:rPr>
            </w:pPr>
            <w:r w:rsidRPr="004C42B1">
              <w:rPr>
                <w:rFonts w:ascii="Calibri" w:eastAsia="Times New Roman" w:hAnsi="Calibri" w:cs="Calibri"/>
                <w:color w:val="000000"/>
              </w:rPr>
              <w:t>SBI Mutual Fund</w:t>
            </w:r>
          </w:p>
        </w:tc>
        <w:tc>
          <w:tcPr>
            <w:tcW w:w="1164" w:type="dxa"/>
            <w:tcBorders>
              <w:top w:val="nil"/>
              <w:left w:val="nil"/>
              <w:bottom w:val="single" w:sz="8" w:space="0" w:color="auto"/>
              <w:right w:val="single" w:sz="8" w:space="0" w:color="auto"/>
            </w:tcBorders>
            <w:shd w:val="clear" w:color="auto" w:fill="auto"/>
            <w:noWrap/>
            <w:vAlign w:val="bottom"/>
            <w:hideMark/>
          </w:tcPr>
          <w:p w:rsidR="004C42B1" w:rsidRPr="004C42B1" w:rsidRDefault="004C42B1" w:rsidP="004C42B1">
            <w:pPr>
              <w:spacing w:after="0" w:line="240" w:lineRule="auto"/>
              <w:rPr>
                <w:rFonts w:ascii="Calibri" w:eastAsia="Times New Roman" w:hAnsi="Calibri" w:cs="Calibri"/>
                <w:color w:val="000000"/>
              </w:rPr>
            </w:pPr>
            <w:r w:rsidRPr="004C42B1">
              <w:rPr>
                <w:rFonts w:ascii="Calibri" w:eastAsia="Times New Roman" w:hAnsi="Calibri" w:cs="Calibri"/>
                <w:color w:val="000000"/>
              </w:rPr>
              <w:t>CAMS</w:t>
            </w:r>
          </w:p>
        </w:tc>
      </w:tr>
      <w:tr w:rsidR="004C42B1" w:rsidRPr="004C42B1" w:rsidTr="004C42B1">
        <w:trPr>
          <w:trHeight w:val="310"/>
        </w:trPr>
        <w:tc>
          <w:tcPr>
            <w:tcW w:w="3344" w:type="dxa"/>
            <w:tcBorders>
              <w:top w:val="nil"/>
              <w:left w:val="single" w:sz="8" w:space="0" w:color="auto"/>
              <w:bottom w:val="single" w:sz="8" w:space="0" w:color="auto"/>
              <w:right w:val="single" w:sz="8" w:space="0" w:color="auto"/>
            </w:tcBorders>
            <w:shd w:val="clear" w:color="auto" w:fill="auto"/>
            <w:noWrap/>
            <w:vAlign w:val="bottom"/>
            <w:hideMark/>
          </w:tcPr>
          <w:p w:rsidR="004C42B1" w:rsidRPr="004C42B1" w:rsidRDefault="004C42B1" w:rsidP="004C42B1">
            <w:pPr>
              <w:spacing w:after="0" w:line="240" w:lineRule="auto"/>
              <w:rPr>
                <w:rFonts w:ascii="Calibri" w:eastAsia="Times New Roman" w:hAnsi="Calibri" w:cs="Calibri"/>
                <w:color w:val="000000"/>
              </w:rPr>
            </w:pPr>
            <w:r w:rsidRPr="004C42B1">
              <w:rPr>
                <w:rFonts w:ascii="Calibri" w:eastAsia="Times New Roman" w:hAnsi="Calibri" w:cs="Calibri"/>
                <w:color w:val="000000"/>
              </w:rPr>
              <w:t>ICICI Prudential Mutual Fund</w:t>
            </w:r>
          </w:p>
        </w:tc>
        <w:tc>
          <w:tcPr>
            <w:tcW w:w="1080" w:type="dxa"/>
            <w:tcBorders>
              <w:top w:val="single" w:sz="8" w:space="0" w:color="auto"/>
              <w:left w:val="nil"/>
              <w:bottom w:val="single" w:sz="8" w:space="0" w:color="auto"/>
              <w:right w:val="single" w:sz="4" w:space="0" w:color="auto"/>
            </w:tcBorders>
            <w:shd w:val="clear" w:color="auto" w:fill="auto"/>
            <w:noWrap/>
            <w:vAlign w:val="bottom"/>
            <w:hideMark/>
          </w:tcPr>
          <w:p w:rsidR="004C42B1" w:rsidRPr="004C42B1" w:rsidRDefault="004C42B1" w:rsidP="004C42B1">
            <w:pPr>
              <w:spacing w:after="0" w:line="240" w:lineRule="auto"/>
              <w:rPr>
                <w:rFonts w:ascii="Calibri" w:eastAsia="Times New Roman" w:hAnsi="Calibri" w:cs="Calibri"/>
                <w:color w:val="000000"/>
              </w:rPr>
            </w:pPr>
            <w:r w:rsidRPr="004C42B1">
              <w:rPr>
                <w:rFonts w:ascii="Calibri" w:eastAsia="Times New Roman" w:hAnsi="Calibri" w:cs="Calibri"/>
                <w:color w:val="000000"/>
              </w:rPr>
              <w:t>CAMS</w:t>
            </w:r>
          </w:p>
        </w:tc>
        <w:tc>
          <w:tcPr>
            <w:tcW w:w="360" w:type="dxa"/>
            <w:vMerge/>
            <w:tcBorders>
              <w:left w:val="single" w:sz="4" w:space="0" w:color="auto"/>
              <w:right w:val="single" w:sz="4" w:space="0" w:color="auto"/>
            </w:tcBorders>
            <w:shd w:val="clear" w:color="auto" w:fill="auto"/>
            <w:noWrap/>
            <w:vAlign w:val="bottom"/>
            <w:hideMark/>
          </w:tcPr>
          <w:p w:rsidR="004C42B1" w:rsidRPr="004C42B1" w:rsidRDefault="004C42B1" w:rsidP="004C42B1">
            <w:pPr>
              <w:spacing w:after="0" w:line="240" w:lineRule="auto"/>
              <w:rPr>
                <w:rFonts w:ascii="Calibri" w:eastAsia="Times New Roman" w:hAnsi="Calibri" w:cs="Calibri"/>
                <w:color w:val="000000"/>
              </w:rPr>
            </w:pPr>
          </w:p>
        </w:tc>
        <w:tc>
          <w:tcPr>
            <w:tcW w:w="3048"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4C42B1" w:rsidRPr="004C42B1" w:rsidRDefault="004C42B1" w:rsidP="004C42B1">
            <w:pPr>
              <w:spacing w:after="0" w:line="240" w:lineRule="auto"/>
              <w:rPr>
                <w:rFonts w:ascii="Calibri" w:eastAsia="Times New Roman" w:hAnsi="Calibri" w:cs="Calibri"/>
                <w:color w:val="000000"/>
              </w:rPr>
            </w:pPr>
            <w:r w:rsidRPr="004C42B1">
              <w:rPr>
                <w:rFonts w:ascii="Calibri" w:eastAsia="Times New Roman" w:hAnsi="Calibri" w:cs="Calibri"/>
                <w:color w:val="000000"/>
              </w:rPr>
              <w:t>TATA Mutual Fund</w:t>
            </w:r>
          </w:p>
        </w:tc>
        <w:tc>
          <w:tcPr>
            <w:tcW w:w="1164" w:type="dxa"/>
            <w:tcBorders>
              <w:top w:val="nil"/>
              <w:left w:val="nil"/>
              <w:bottom w:val="single" w:sz="8" w:space="0" w:color="auto"/>
              <w:right w:val="single" w:sz="8" w:space="0" w:color="auto"/>
            </w:tcBorders>
            <w:shd w:val="clear" w:color="auto" w:fill="auto"/>
            <w:noWrap/>
            <w:vAlign w:val="bottom"/>
            <w:hideMark/>
          </w:tcPr>
          <w:p w:rsidR="004C42B1" w:rsidRPr="004C42B1" w:rsidRDefault="004C42B1" w:rsidP="004C42B1">
            <w:pPr>
              <w:spacing w:after="0" w:line="240" w:lineRule="auto"/>
              <w:rPr>
                <w:rFonts w:ascii="Calibri" w:eastAsia="Times New Roman" w:hAnsi="Calibri" w:cs="Calibri"/>
                <w:color w:val="000000"/>
              </w:rPr>
            </w:pPr>
            <w:r w:rsidRPr="004C42B1">
              <w:rPr>
                <w:rFonts w:ascii="Calibri" w:eastAsia="Times New Roman" w:hAnsi="Calibri" w:cs="Calibri"/>
                <w:color w:val="000000"/>
              </w:rPr>
              <w:t>CAMS</w:t>
            </w:r>
          </w:p>
        </w:tc>
      </w:tr>
      <w:tr w:rsidR="004C42B1" w:rsidRPr="004C42B1" w:rsidTr="004C42B1">
        <w:trPr>
          <w:trHeight w:val="310"/>
        </w:trPr>
        <w:tc>
          <w:tcPr>
            <w:tcW w:w="3344" w:type="dxa"/>
            <w:tcBorders>
              <w:top w:val="nil"/>
              <w:left w:val="single" w:sz="8" w:space="0" w:color="auto"/>
              <w:bottom w:val="single" w:sz="8" w:space="0" w:color="auto"/>
              <w:right w:val="single" w:sz="8" w:space="0" w:color="auto"/>
            </w:tcBorders>
            <w:shd w:val="clear" w:color="auto" w:fill="auto"/>
            <w:noWrap/>
            <w:vAlign w:val="bottom"/>
            <w:hideMark/>
          </w:tcPr>
          <w:p w:rsidR="004C42B1" w:rsidRPr="004C42B1" w:rsidRDefault="004C42B1" w:rsidP="004C42B1">
            <w:pPr>
              <w:spacing w:after="0" w:line="240" w:lineRule="auto"/>
              <w:rPr>
                <w:rFonts w:ascii="Calibri" w:eastAsia="Times New Roman" w:hAnsi="Calibri" w:cs="Calibri"/>
                <w:color w:val="000000"/>
              </w:rPr>
            </w:pPr>
            <w:r w:rsidRPr="004C42B1">
              <w:rPr>
                <w:rFonts w:ascii="Calibri" w:eastAsia="Times New Roman" w:hAnsi="Calibri" w:cs="Calibri"/>
                <w:color w:val="000000"/>
              </w:rPr>
              <w:t>IDFC Mutual Fund</w:t>
            </w:r>
          </w:p>
        </w:tc>
        <w:tc>
          <w:tcPr>
            <w:tcW w:w="1080" w:type="dxa"/>
            <w:tcBorders>
              <w:top w:val="single" w:sz="8" w:space="0" w:color="auto"/>
              <w:left w:val="nil"/>
              <w:bottom w:val="single" w:sz="8" w:space="0" w:color="auto"/>
              <w:right w:val="single" w:sz="4" w:space="0" w:color="auto"/>
            </w:tcBorders>
            <w:shd w:val="clear" w:color="auto" w:fill="auto"/>
            <w:noWrap/>
            <w:vAlign w:val="bottom"/>
            <w:hideMark/>
          </w:tcPr>
          <w:p w:rsidR="004C42B1" w:rsidRPr="004C42B1" w:rsidRDefault="004C42B1" w:rsidP="004C42B1">
            <w:pPr>
              <w:spacing w:after="0" w:line="240" w:lineRule="auto"/>
              <w:rPr>
                <w:rFonts w:ascii="Calibri" w:eastAsia="Times New Roman" w:hAnsi="Calibri" w:cs="Calibri"/>
                <w:color w:val="000000"/>
              </w:rPr>
            </w:pPr>
            <w:r w:rsidRPr="004C42B1">
              <w:rPr>
                <w:rFonts w:ascii="Calibri" w:eastAsia="Times New Roman" w:hAnsi="Calibri" w:cs="Calibri"/>
                <w:color w:val="000000"/>
              </w:rPr>
              <w:t>CAMS</w:t>
            </w:r>
          </w:p>
        </w:tc>
        <w:tc>
          <w:tcPr>
            <w:tcW w:w="360" w:type="dxa"/>
            <w:vMerge/>
            <w:tcBorders>
              <w:left w:val="single" w:sz="4" w:space="0" w:color="auto"/>
              <w:right w:val="single" w:sz="4" w:space="0" w:color="auto"/>
            </w:tcBorders>
            <w:shd w:val="clear" w:color="auto" w:fill="auto"/>
            <w:noWrap/>
            <w:vAlign w:val="bottom"/>
            <w:hideMark/>
          </w:tcPr>
          <w:p w:rsidR="004C42B1" w:rsidRPr="004C42B1" w:rsidRDefault="004C42B1" w:rsidP="004C42B1">
            <w:pPr>
              <w:spacing w:after="0" w:line="240" w:lineRule="auto"/>
              <w:rPr>
                <w:rFonts w:ascii="Calibri" w:eastAsia="Times New Roman" w:hAnsi="Calibri" w:cs="Calibri"/>
                <w:color w:val="000000"/>
              </w:rPr>
            </w:pPr>
          </w:p>
        </w:tc>
        <w:tc>
          <w:tcPr>
            <w:tcW w:w="3048"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4C42B1" w:rsidRPr="004C42B1" w:rsidRDefault="004C42B1" w:rsidP="004C42B1">
            <w:pPr>
              <w:spacing w:after="0" w:line="240" w:lineRule="auto"/>
              <w:rPr>
                <w:rFonts w:ascii="Calibri" w:eastAsia="Times New Roman" w:hAnsi="Calibri" w:cs="Calibri"/>
                <w:color w:val="000000"/>
              </w:rPr>
            </w:pPr>
            <w:r w:rsidRPr="004C42B1">
              <w:rPr>
                <w:rFonts w:ascii="Calibri" w:eastAsia="Times New Roman" w:hAnsi="Calibri" w:cs="Calibri"/>
                <w:color w:val="000000"/>
              </w:rPr>
              <w:t>UTI Mutual Fund</w:t>
            </w:r>
          </w:p>
        </w:tc>
        <w:tc>
          <w:tcPr>
            <w:tcW w:w="1164" w:type="dxa"/>
            <w:tcBorders>
              <w:top w:val="nil"/>
              <w:left w:val="nil"/>
              <w:bottom w:val="single" w:sz="8" w:space="0" w:color="auto"/>
              <w:right w:val="single" w:sz="8" w:space="0" w:color="auto"/>
            </w:tcBorders>
            <w:shd w:val="clear" w:color="auto" w:fill="auto"/>
            <w:noWrap/>
            <w:vAlign w:val="bottom"/>
            <w:hideMark/>
          </w:tcPr>
          <w:p w:rsidR="004C42B1" w:rsidRPr="004C42B1" w:rsidRDefault="004C42B1" w:rsidP="004C42B1">
            <w:pPr>
              <w:spacing w:after="0" w:line="240" w:lineRule="auto"/>
              <w:rPr>
                <w:rFonts w:ascii="Calibri" w:eastAsia="Times New Roman" w:hAnsi="Calibri" w:cs="Calibri"/>
                <w:color w:val="000000"/>
              </w:rPr>
            </w:pPr>
            <w:r w:rsidRPr="004C42B1">
              <w:rPr>
                <w:rFonts w:ascii="Calibri" w:eastAsia="Times New Roman" w:hAnsi="Calibri" w:cs="Calibri"/>
                <w:color w:val="000000"/>
              </w:rPr>
              <w:t>KARVY</w:t>
            </w:r>
          </w:p>
        </w:tc>
      </w:tr>
    </w:tbl>
    <w:p w:rsidR="004C42B1" w:rsidRDefault="004C42B1" w:rsidP="00D97AF2">
      <w:pPr>
        <w:spacing w:after="0" w:line="240" w:lineRule="auto"/>
      </w:pPr>
    </w:p>
    <w:p w:rsidR="004C42B1" w:rsidRDefault="004C42B1" w:rsidP="00D97AF2">
      <w:pPr>
        <w:spacing w:after="0" w:line="240" w:lineRule="auto"/>
      </w:pPr>
    </w:p>
    <w:p w:rsidR="00AD6AFF" w:rsidRDefault="00AD6AFF" w:rsidP="00AD6AFF">
      <w:pPr>
        <w:pStyle w:val="ListParagraph"/>
        <w:numPr>
          <w:ilvl w:val="0"/>
          <w:numId w:val="5"/>
        </w:numPr>
        <w:spacing w:after="0" w:line="240" w:lineRule="auto"/>
        <w:rPr>
          <w:rFonts w:cstheme="minorHAnsi"/>
        </w:rPr>
      </w:pPr>
      <w:r>
        <w:rPr>
          <w:rFonts w:cstheme="minorHAnsi"/>
        </w:rPr>
        <w:t>Process</w:t>
      </w:r>
    </w:p>
    <w:p w:rsidR="00B66A24" w:rsidRDefault="003367CD" w:rsidP="003367CD">
      <w:pPr>
        <w:pStyle w:val="ListParagraph"/>
        <w:numPr>
          <w:ilvl w:val="0"/>
          <w:numId w:val="9"/>
        </w:numPr>
        <w:spacing w:after="0" w:line="240" w:lineRule="auto"/>
        <w:ind w:left="1080"/>
        <w:rPr>
          <w:rFonts w:cstheme="minorHAnsi"/>
        </w:rPr>
      </w:pPr>
      <w:r>
        <w:rPr>
          <w:rFonts w:cstheme="minorHAnsi"/>
        </w:rPr>
        <w:t xml:space="preserve">Submit </w:t>
      </w:r>
      <w:r w:rsidRPr="003367CD">
        <w:rPr>
          <w:rFonts w:cstheme="minorHAnsi"/>
        </w:rPr>
        <w:t xml:space="preserve">Request </w:t>
      </w:r>
      <w:r w:rsidR="00071A9B">
        <w:rPr>
          <w:rFonts w:cstheme="minorHAnsi"/>
        </w:rPr>
        <w:t>L</w:t>
      </w:r>
      <w:r w:rsidRPr="003367CD">
        <w:rPr>
          <w:rFonts w:cstheme="minorHAnsi"/>
        </w:rPr>
        <w:t xml:space="preserve">etters for conversion to Sharekhan’s broker code addressed to AMC(s) respectively mentioning only their holding details </w:t>
      </w:r>
      <w:r w:rsidR="00F15430">
        <w:rPr>
          <w:rFonts w:cstheme="minorHAnsi"/>
        </w:rPr>
        <w:t xml:space="preserve">(refer </w:t>
      </w:r>
      <w:r w:rsidR="00A147EE">
        <w:rPr>
          <w:rFonts w:cstheme="minorHAnsi"/>
        </w:rPr>
        <w:t>attachment</w:t>
      </w:r>
      <w:r w:rsidR="00F15430">
        <w:rPr>
          <w:rFonts w:cstheme="minorHAnsi"/>
        </w:rPr>
        <w:t>)</w:t>
      </w:r>
      <w:r w:rsidR="00071A9B">
        <w:rPr>
          <w:rFonts w:cstheme="minorHAnsi"/>
        </w:rPr>
        <w:t xml:space="preserve"> </w:t>
      </w:r>
    </w:p>
    <w:p w:rsidR="00727A90" w:rsidRDefault="00727A90" w:rsidP="00727A90">
      <w:pPr>
        <w:pStyle w:val="ListParagraph"/>
        <w:numPr>
          <w:ilvl w:val="2"/>
          <w:numId w:val="9"/>
        </w:numPr>
        <w:spacing w:after="0" w:line="240" w:lineRule="auto"/>
        <w:rPr>
          <w:rFonts w:cstheme="minorHAnsi"/>
        </w:rPr>
      </w:pPr>
      <w:r>
        <w:rPr>
          <w:rFonts w:cstheme="minorHAnsi"/>
        </w:rPr>
        <w:t>one letter per AMC/RTA</w:t>
      </w:r>
    </w:p>
    <w:p w:rsidR="00727A90" w:rsidRDefault="00727A90" w:rsidP="00727A90">
      <w:pPr>
        <w:pStyle w:val="ListParagraph"/>
        <w:numPr>
          <w:ilvl w:val="2"/>
          <w:numId w:val="9"/>
        </w:numPr>
        <w:spacing w:after="0" w:line="240" w:lineRule="auto"/>
        <w:rPr>
          <w:rFonts w:cstheme="minorHAnsi"/>
        </w:rPr>
      </w:pPr>
      <w:r>
        <w:rPr>
          <w:rFonts w:cstheme="minorHAnsi"/>
        </w:rPr>
        <w:t>submit</w:t>
      </w:r>
      <w:r w:rsidRPr="00EF574A">
        <w:rPr>
          <w:rFonts w:cstheme="minorHAnsi"/>
        </w:rPr>
        <w:t xml:space="preserve"> separate forms if there are more schemes / folios pertains to </w:t>
      </w:r>
      <w:r>
        <w:rPr>
          <w:rFonts w:cstheme="minorHAnsi"/>
        </w:rPr>
        <w:t>an</w:t>
      </w:r>
      <w:r w:rsidRPr="00EF574A">
        <w:rPr>
          <w:rFonts w:cstheme="minorHAnsi"/>
        </w:rPr>
        <w:t xml:space="preserve"> AMC </w:t>
      </w:r>
      <w:r>
        <w:rPr>
          <w:rFonts w:cstheme="minorHAnsi"/>
        </w:rPr>
        <w:t xml:space="preserve">and </w:t>
      </w:r>
      <w:r w:rsidRPr="00EF574A">
        <w:rPr>
          <w:rFonts w:cstheme="minorHAnsi"/>
        </w:rPr>
        <w:t>count exceeds than the rows mentioned in the below form</w:t>
      </w:r>
    </w:p>
    <w:p w:rsidR="00314ECE" w:rsidRPr="003367CD" w:rsidRDefault="00314ECE" w:rsidP="00314ECE">
      <w:pPr>
        <w:pStyle w:val="ListParagraph"/>
        <w:spacing w:after="0" w:line="240" w:lineRule="auto"/>
        <w:ind w:left="1800"/>
        <w:rPr>
          <w:rFonts w:cstheme="minorHAnsi"/>
        </w:rPr>
      </w:pPr>
    </w:p>
    <w:p w:rsidR="00727A90" w:rsidRDefault="00EE4906" w:rsidP="00727A90">
      <w:pPr>
        <w:pStyle w:val="ListParagraph"/>
        <w:spacing w:after="0" w:line="240" w:lineRule="auto"/>
        <w:ind w:left="1080"/>
        <w:rPr>
          <w:rFonts w:cstheme="minorHAnsi"/>
        </w:rPr>
      </w:pPr>
      <w:r>
        <w:object w:dxaOrig="2040" w:dyaOrig="1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75pt" o:ole="">
            <v:imagedata r:id="rId9" o:title=""/>
          </v:shape>
          <o:OLEObject Type="Embed" ProgID="AcroExch.Document.11" ShapeID="_x0000_i1025" DrawAspect="Icon" ObjectID="_1674048302" r:id="rId10"/>
        </w:object>
      </w:r>
    </w:p>
    <w:p w:rsidR="00727A90" w:rsidRDefault="00727A90" w:rsidP="00727A90">
      <w:pPr>
        <w:pStyle w:val="ListParagraph"/>
        <w:spacing w:after="0" w:line="240" w:lineRule="auto"/>
        <w:ind w:left="1080"/>
        <w:rPr>
          <w:rFonts w:cstheme="minorHAnsi"/>
        </w:rPr>
      </w:pPr>
    </w:p>
    <w:p w:rsidR="00514AAC" w:rsidRDefault="00586140" w:rsidP="003367CD">
      <w:pPr>
        <w:pStyle w:val="ListParagraph"/>
        <w:numPr>
          <w:ilvl w:val="0"/>
          <w:numId w:val="9"/>
        </w:numPr>
        <w:spacing w:after="0" w:line="240" w:lineRule="auto"/>
        <w:ind w:left="1080"/>
        <w:rPr>
          <w:rFonts w:cstheme="minorHAnsi"/>
        </w:rPr>
      </w:pPr>
      <w:r>
        <w:rPr>
          <w:rFonts w:cstheme="minorHAnsi"/>
        </w:rPr>
        <w:t>Documents required - l</w:t>
      </w:r>
      <w:r w:rsidR="00514AAC" w:rsidRPr="003367CD">
        <w:rPr>
          <w:rFonts w:cstheme="minorHAnsi"/>
        </w:rPr>
        <w:t>atest Statement of Account (SoA</w:t>
      </w:r>
      <w:r w:rsidR="00456FDF">
        <w:rPr>
          <w:rFonts w:cstheme="minorHAnsi"/>
        </w:rPr>
        <w:t>-</w:t>
      </w:r>
      <w:r w:rsidR="003367CD">
        <w:rPr>
          <w:rFonts w:cstheme="minorHAnsi"/>
        </w:rPr>
        <w:t xml:space="preserve"> </w:t>
      </w:r>
      <w:r w:rsidR="00456FDF">
        <w:rPr>
          <w:rFonts w:cstheme="minorHAnsi"/>
        </w:rPr>
        <w:t xml:space="preserve">provided by AMC) </w:t>
      </w:r>
      <w:r w:rsidR="003367CD">
        <w:rPr>
          <w:rFonts w:cstheme="minorHAnsi"/>
        </w:rPr>
        <w:t>as per holding details</w:t>
      </w:r>
    </w:p>
    <w:p w:rsidR="00586140" w:rsidRPr="003367CD" w:rsidRDefault="00586140" w:rsidP="003367CD">
      <w:pPr>
        <w:pStyle w:val="ListParagraph"/>
        <w:numPr>
          <w:ilvl w:val="0"/>
          <w:numId w:val="9"/>
        </w:numPr>
        <w:spacing w:after="0" w:line="240" w:lineRule="auto"/>
        <w:ind w:left="1080"/>
        <w:rPr>
          <w:rFonts w:cstheme="minorHAnsi"/>
        </w:rPr>
      </w:pPr>
      <w:r w:rsidRPr="00586140">
        <w:rPr>
          <w:rFonts w:cstheme="minorHAnsi"/>
        </w:rPr>
        <w:t>Turnaround time for broker code change is around 8-10 days from the date of receipt by AMC/RTA</w:t>
      </w:r>
    </w:p>
    <w:p w:rsidR="00514AAC" w:rsidRPr="003367CD" w:rsidRDefault="00514AAC" w:rsidP="003367CD">
      <w:pPr>
        <w:spacing w:after="0" w:line="240" w:lineRule="auto"/>
        <w:ind w:left="-2340"/>
        <w:rPr>
          <w:rFonts w:cstheme="minorHAnsi"/>
        </w:rPr>
      </w:pPr>
    </w:p>
    <w:p w:rsidR="00002890" w:rsidRDefault="00457DD7" w:rsidP="00B07C00">
      <w:pPr>
        <w:spacing w:after="0" w:line="240" w:lineRule="auto"/>
        <w:rPr>
          <w:rFonts w:cstheme="minorHAnsi"/>
          <w:b/>
        </w:rPr>
      </w:pPr>
      <w:r>
        <w:rPr>
          <w:rFonts w:cstheme="minorHAnsi"/>
          <w:b/>
        </w:rPr>
        <w:lastRenderedPageBreak/>
        <w:t>Transferring under various modes of holding:</w:t>
      </w:r>
    </w:p>
    <w:p w:rsidR="00533B03" w:rsidRPr="00B07C00" w:rsidRDefault="00533B03" w:rsidP="00B07C00">
      <w:pPr>
        <w:spacing w:after="0" w:line="240" w:lineRule="auto"/>
        <w:rPr>
          <w:rFonts w:cstheme="minorHAnsi"/>
        </w:rPr>
      </w:pPr>
    </w:p>
    <w:tbl>
      <w:tblPr>
        <w:tblStyle w:val="TableGrid"/>
        <w:tblW w:w="0" w:type="auto"/>
        <w:tblLook w:val="04A0"/>
      </w:tblPr>
      <w:tblGrid>
        <w:gridCol w:w="1008"/>
        <w:gridCol w:w="3510"/>
        <w:gridCol w:w="4048"/>
      </w:tblGrid>
      <w:tr w:rsidR="00EF574A" w:rsidTr="00EF574A">
        <w:trPr>
          <w:trHeight w:val="459"/>
        </w:trPr>
        <w:tc>
          <w:tcPr>
            <w:tcW w:w="1008" w:type="dxa"/>
          </w:tcPr>
          <w:p w:rsidR="00EF574A" w:rsidRDefault="00EF574A" w:rsidP="00B07C00">
            <w:pPr>
              <w:rPr>
                <w:rFonts w:cstheme="minorHAnsi"/>
                <w:b/>
              </w:rPr>
            </w:pPr>
          </w:p>
        </w:tc>
        <w:tc>
          <w:tcPr>
            <w:tcW w:w="3510" w:type="dxa"/>
          </w:tcPr>
          <w:p w:rsidR="00EF574A" w:rsidRPr="00EF574A" w:rsidRDefault="00EF574A" w:rsidP="00000F56">
            <w:pPr>
              <w:jc w:val="center"/>
              <w:rPr>
                <w:rFonts w:cstheme="minorHAnsi"/>
                <w:b/>
              </w:rPr>
            </w:pPr>
            <w:r w:rsidRPr="00EF574A">
              <w:rPr>
                <w:rFonts w:cstheme="minorHAnsi"/>
                <w:b/>
              </w:rPr>
              <w:t>RTA Mode (offline and online)</w:t>
            </w:r>
          </w:p>
        </w:tc>
        <w:tc>
          <w:tcPr>
            <w:tcW w:w="4048" w:type="dxa"/>
          </w:tcPr>
          <w:p w:rsidR="00EF574A" w:rsidRPr="00EF574A" w:rsidRDefault="00EF574A" w:rsidP="00000F56">
            <w:pPr>
              <w:jc w:val="center"/>
              <w:rPr>
                <w:rFonts w:cstheme="minorHAnsi"/>
                <w:b/>
              </w:rPr>
            </w:pPr>
            <w:r w:rsidRPr="00EF574A">
              <w:rPr>
                <w:rFonts w:cstheme="minorHAnsi"/>
                <w:b/>
              </w:rPr>
              <w:t>Non-SK DEMAT</w:t>
            </w:r>
          </w:p>
        </w:tc>
      </w:tr>
      <w:tr w:rsidR="00EF574A" w:rsidTr="00935A8F">
        <w:trPr>
          <w:trHeight w:val="503"/>
        </w:trPr>
        <w:tc>
          <w:tcPr>
            <w:tcW w:w="1008" w:type="dxa"/>
          </w:tcPr>
          <w:p w:rsidR="00EF574A" w:rsidRDefault="00EF574A" w:rsidP="00B07C00">
            <w:pPr>
              <w:rPr>
                <w:rFonts w:cstheme="minorHAnsi"/>
                <w:b/>
              </w:rPr>
            </w:pPr>
          </w:p>
        </w:tc>
        <w:tc>
          <w:tcPr>
            <w:tcW w:w="3510" w:type="dxa"/>
          </w:tcPr>
          <w:p w:rsidR="00EF574A" w:rsidRDefault="00EF574A" w:rsidP="00B07C00">
            <w:pPr>
              <w:rPr>
                <w:rFonts w:cstheme="minorHAnsi"/>
                <w:b/>
              </w:rPr>
            </w:pPr>
            <w:r w:rsidRPr="00457DD7">
              <w:rPr>
                <w:rFonts w:cstheme="minorHAnsi"/>
              </w:rPr>
              <w:t xml:space="preserve">Sharekhan </w:t>
            </w:r>
            <w:r>
              <w:rPr>
                <w:rFonts w:cstheme="minorHAnsi"/>
              </w:rPr>
              <w:t>online account (non DEMAT/DEMAT mode)</w:t>
            </w:r>
          </w:p>
        </w:tc>
        <w:tc>
          <w:tcPr>
            <w:tcW w:w="4048" w:type="dxa"/>
          </w:tcPr>
          <w:p w:rsidR="00EF574A" w:rsidRDefault="00EF574A" w:rsidP="00F21C79">
            <w:pPr>
              <w:rPr>
                <w:rFonts w:cstheme="minorHAnsi"/>
                <w:b/>
              </w:rPr>
            </w:pPr>
            <w:r w:rsidRPr="00457DD7">
              <w:rPr>
                <w:rFonts w:cstheme="minorHAnsi"/>
              </w:rPr>
              <w:t>Sharekhan D</w:t>
            </w:r>
            <w:r>
              <w:rPr>
                <w:rFonts w:cstheme="minorHAnsi"/>
              </w:rPr>
              <w:t>EMAT Account</w:t>
            </w:r>
          </w:p>
        </w:tc>
      </w:tr>
      <w:tr w:rsidR="00EF574A" w:rsidTr="00EF574A">
        <w:trPr>
          <w:trHeight w:val="676"/>
        </w:trPr>
        <w:tc>
          <w:tcPr>
            <w:tcW w:w="1008" w:type="dxa"/>
          </w:tcPr>
          <w:p w:rsidR="00EF574A" w:rsidRPr="00E905E7" w:rsidRDefault="00EF574A" w:rsidP="00B07C00">
            <w:pPr>
              <w:rPr>
                <w:rFonts w:cstheme="minorHAnsi"/>
              </w:rPr>
            </w:pPr>
            <w:r>
              <w:rPr>
                <w:rFonts w:cstheme="minorHAnsi"/>
              </w:rPr>
              <w:t>Step 1</w:t>
            </w:r>
          </w:p>
        </w:tc>
        <w:tc>
          <w:tcPr>
            <w:tcW w:w="3510" w:type="dxa"/>
          </w:tcPr>
          <w:p w:rsidR="00EF574A" w:rsidRPr="00E905E7" w:rsidRDefault="00EF574A" w:rsidP="00B07C00">
            <w:pPr>
              <w:rPr>
                <w:rFonts w:cstheme="minorHAnsi"/>
              </w:rPr>
            </w:pPr>
            <w:r>
              <w:rPr>
                <w:rFonts w:cstheme="minorHAnsi"/>
              </w:rPr>
              <w:t>Skip to step 2</w:t>
            </w:r>
          </w:p>
        </w:tc>
        <w:tc>
          <w:tcPr>
            <w:tcW w:w="4048" w:type="dxa"/>
          </w:tcPr>
          <w:p w:rsidR="00EF574A" w:rsidRPr="00E905E7" w:rsidRDefault="00EF574A" w:rsidP="00B07C00">
            <w:pPr>
              <w:rPr>
                <w:rFonts w:cstheme="minorHAnsi"/>
              </w:rPr>
            </w:pPr>
            <w:r w:rsidRPr="00E905E7">
              <w:rPr>
                <w:rFonts w:cstheme="minorHAnsi"/>
              </w:rPr>
              <w:t>Convert the existing non SK MF units from DP to non DP/Physical/Re-materialization</w:t>
            </w:r>
            <w:r w:rsidR="00EE4906">
              <w:rPr>
                <w:rFonts w:cstheme="minorHAnsi"/>
              </w:rPr>
              <w:t xml:space="preserve"> (other than </w:t>
            </w:r>
            <w:r w:rsidR="004C42B1">
              <w:rPr>
                <w:rFonts w:cstheme="minorHAnsi"/>
              </w:rPr>
              <w:t xml:space="preserve">12 </w:t>
            </w:r>
            <w:r w:rsidR="00EE4906">
              <w:rPr>
                <w:rFonts w:cstheme="minorHAnsi"/>
              </w:rPr>
              <w:t>AMCs mentioned above</w:t>
            </w:r>
            <w:r w:rsidR="004C42B1">
              <w:rPr>
                <w:rFonts w:cstheme="minorHAnsi"/>
              </w:rPr>
              <w:t xml:space="preserve"> in which case you can skip to step 2</w:t>
            </w:r>
            <w:r w:rsidR="00EE4906">
              <w:rPr>
                <w:rFonts w:cstheme="minorHAnsi"/>
              </w:rPr>
              <w:t>)</w:t>
            </w:r>
          </w:p>
        </w:tc>
      </w:tr>
      <w:tr w:rsidR="00EF574A" w:rsidTr="00EF574A">
        <w:trPr>
          <w:trHeight w:val="459"/>
        </w:trPr>
        <w:tc>
          <w:tcPr>
            <w:tcW w:w="1008" w:type="dxa"/>
          </w:tcPr>
          <w:p w:rsidR="00EF574A" w:rsidRPr="00E905E7" w:rsidRDefault="00EF574A" w:rsidP="00B07C00">
            <w:pPr>
              <w:rPr>
                <w:rFonts w:cstheme="minorHAnsi"/>
              </w:rPr>
            </w:pPr>
            <w:r>
              <w:rPr>
                <w:rFonts w:cstheme="minorHAnsi"/>
              </w:rPr>
              <w:t>Step 2</w:t>
            </w:r>
          </w:p>
        </w:tc>
        <w:tc>
          <w:tcPr>
            <w:tcW w:w="3510" w:type="dxa"/>
          </w:tcPr>
          <w:p w:rsidR="00EF574A" w:rsidRPr="00E905E7" w:rsidRDefault="00EF574A" w:rsidP="00B07C00">
            <w:pPr>
              <w:rPr>
                <w:rFonts w:cstheme="minorHAnsi"/>
              </w:rPr>
            </w:pPr>
            <w:r w:rsidRPr="00E905E7">
              <w:rPr>
                <w:rFonts w:cstheme="minorHAnsi"/>
              </w:rPr>
              <w:t>Transfer Request Process</w:t>
            </w:r>
            <w:r>
              <w:rPr>
                <w:rFonts w:cstheme="minorHAnsi"/>
              </w:rPr>
              <w:t xml:space="preserve"> as defined above</w:t>
            </w:r>
          </w:p>
        </w:tc>
        <w:tc>
          <w:tcPr>
            <w:tcW w:w="4048" w:type="dxa"/>
          </w:tcPr>
          <w:p w:rsidR="00EF574A" w:rsidRPr="00E905E7" w:rsidRDefault="00EF574A" w:rsidP="00B07C00">
            <w:pPr>
              <w:rPr>
                <w:rFonts w:cstheme="minorHAnsi"/>
              </w:rPr>
            </w:pPr>
            <w:r w:rsidRPr="00E905E7">
              <w:rPr>
                <w:rFonts w:cstheme="minorHAnsi"/>
              </w:rPr>
              <w:t>Transfer Request Process</w:t>
            </w:r>
            <w:r>
              <w:rPr>
                <w:rFonts w:cstheme="minorHAnsi"/>
              </w:rPr>
              <w:t xml:space="preserve"> as defined above</w:t>
            </w:r>
          </w:p>
        </w:tc>
      </w:tr>
    </w:tbl>
    <w:p w:rsidR="00000F56" w:rsidRDefault="00000F56" w:rsidP="00B07C00">
      <w:pPr>
        <w:spacing w:after="0" w:line="240" w:lineRule="auto"/>
        <w:rPr>
          <w:rFonts w:cstheme="minorHAnsi"/>
          <w:b/>
        </w:rPr>
      </w:pPr>
    </w:p>
    <w:p w:rsidR="00533B03" w:rsidRPr="00D75E6F" w:rsidRDefault="0054677A" w:rsidP="00B07C00">
      <w:pPr>
        <w:spacing w:after="0" w:line="240" w:lineRule="auto"/>
        <w:rPr>
          <w:rFonts w:cstheme="minorHAnsi"/>
          <w:b/>
        </w:rPr>
      </w:pPr>
      <w:r>
        <w:rPr>
          <w:rFonts w:cstheme="minorHAnsi"/>
          <w:b/>
        </w:rPr>
        <w:t>Process to be followed with MF Operations team</w:t>
      </w:r>
      <w:r w:rsidR="00533B03" w:rsidRPr="00D75E6F">
        <w:rPr>
          <w:rFonts w:cstheme="minorHAnsi"/>
          <w:b/>
        </w:rPr>
        <w:t xml:space="preserve">: </w:t>
      </w:r>
    </w:p>
    <w:p w:rsidR="008B1328" w:rsidRPr="005A185C" w:rsidRDefault="00533B03" w:rsidP="005A185C">
      <w:pPr>
        <w:pStyle w:val="ListParagraph"/>
        <w:numPr>
          <w:ilvl w:val="0"/>
          <w:numId w:val="11"/>
        </w:numPr>
        <w:spacing w:after="0" w:line="240" w:lineRule="auto"/>
        <w:rPr>
          <w:rFonts w:cstheme="minorHAnsi"/>
        </w:rPr>
      </w:pPr>
      <w:r w:rsidRPr="005A185C">
        <w:rPr>
          <w:rFonts w:cstheme="minorHAnsi"/>
        </w:rPr>
        <w:t xml:space="preserve">If you are submitting </w:t>
      </w:r>
      <w:r w:rsidR="00E92C20">
        <w:rPr>
          <w:rFonts w:cstheme="minorHAnsi"/>
        </w:rPr>
        <w:t xml:space="preserve">your request </w:t>
      </w:r>
      <w:r w:rsidRPr="005A185C">
        <w:rPr>
          <w:rFonts w:cstheme="minorHAnsi"/>
        </w:rPr>
        <w:t xml:space="preserve">directly to </w:t>
      </w:r>
      <w:r w:rsidR="00E92C20">
        <w:rPr>
          <w:rFonts w:cstheme="minorHAnsi"/>
        </w:rPr>
        <w:t xml:space="preserve">an </w:t>
      </w:r>
      <w:r w:rsidRPr="005A185C">
        <w:rPr>
          <w:rFonts w:cstheme="minorHAnsi"/>
        </w:rPr>
        <w:t>AMC/RTA (CAMS/K</w:t>
      </w:r>
      <w:r w:rsidR="00EA1933">
        <w:rPr>
          <w:rFonts w:cstheme="minorHAnsi"/>
        </w:rPr>
        <w:t>arvy</w:t>
      </w:r>
      <w:r w:rsidRPr="005A185C">
        <w:rPr>
          <w:rFonts w:cstheme="minorHAnsi"/>
        </w:rPr>
        <w:t>) offices/customer service centers</w:t>
      </w:r>
      <w:r w:rsidR="00335520" w:rsidRPr="005A185C">
        <w:rPr>
          <w:rFonts w:cstheme="minorHAnsi"/>
        </w:rPr>
        <w:t>,</w:t>
      </w:r>
      <w:r w:rsidRPr="005A185C">
        <w:rPr>
          <w:rFonts w:cstheme="minorHAnsi"/>
        </w:rPr>
        <w:t xml:space="preserve"> kindly keep </w:t>
      </w:r>
      <w:r w:rsidR="00E92C20">
        <w:rPr>
          <w:rFonts w:cstheme="minorHAnsi"/>
        </w:rPr>
        <w:t>a</w:t>
      </w:r>
      <w:r w:rsidRPr="005A185C">
        <w:rPr>
          <w:rFonts w:cstheme="minorHAnsi"/>
        </w:rPr>
        <w:t xml:space="preserve"> scan copy of all documents </w:t>
      </w:r>
      <w:r w:rsidR="00E92C20">
        <w:rPr>
          <w:rFonts w:cstheme="minorHAnsi"/>
        </w:rPr>
        <w:t>submitted along with the</w:t>
      </w:r>
      <w:r w:rsidR="00E92C20" w:rsidRPr="00E92C20">
        <w:rPr>
          <w:rFonts w:cstheme="minorHAnsi"/>
        </w:rPr>
        <w:t xml:space="preserve"> </w:t>
      </w:r>
      <w:r w:rsidR="00E92C20" w:rsidRPr="005A185C">
        <w:rPr>
          <w:rFonts w:cstheme="minorHAnsi"/>
        </w:rPr>
        <w:t xml:space="preserve">seal/stamped  </w:t>
      </w:r>
      <w:r w:rsidR="008B1328" w:rsidRPr="005A185C">
        <w:rPr>
          <w:rFonts w:cstheme="minorHAnsi"/>
        </w:rPr>
        <w:t xml:space="preserve">acknowledgement  </w:t>
      </w:r>
      <w:r w:rsidR="00E92C20">
        <w:rPr>
          <w:rFonts w:cstheme="minorHAnsi"/>
        </w:rPr>
        <w:t>from the A</w:t>
      </w:r>
      <w:r w:rsidR="008B1328" w:rsidRPr="005A185C">
        <w:rPr>
          <w:rFonts w:cstheme="minorHAnsi"/>
        </w:rPr>
        <w:t>MC/RTA Branches / Customers service centers.</w:t>
      </w:r>
    </w:p>
    <w:p w:rsidR="00935A8F" w:rsidRDefault="00E92C20" w:rsidP="00B9282C">
      <w:pPr>
        <w:pStyle w:val="NoSpacing"/>
        <w:numPr>
          <w:ilvl w:val="0"/>
          <w:numId w:val="11"/>
        </w:numPr>
        <w:rPr>
          <w:rFonts w:cstheme="minorHAnsi"/>
        </w:rPr>
      </w:pPr>
      <w:r w:rsidRPr="00E92C20">
        <w:rPr>
          <w:rFonts w:cstheme="minorHAnsi"/>
        </w:rPr>
        <w:t>Email</w:t>
      </w:r>
      <w:r w:rsidR="008B1328" w:rsidRPr="00E92C20">
        <w:rPr>
          <w:rFonts w:cstheme="minorHAnsi"/>
        </w:rPr>
        <w:t xml:space="preserve"> the soft copy of documents &amp; stamped acknowledgment to </w:t>
      </w:r>
      <w:hyperlink r:id="rId11" w:history="1">
        <w:r w:rsidR="008B1328" w:rsidRPr="00E92C20">
          <w:rPr>
            <w:rStyle w:val="Hyperlink"/>
            <w:rFonts w:cstheme="minorHAnsi"/>
          </w:rPr>
          <w:t>mfsupport@sharekhan.com</w:t>
        </w:r>
      </w:hyperlink>
      <w:r w:rsidR="008B1328" w:rsidRPr="00E92C20">
        <w:rPr>
          <w:rFonts w:cstheme="minorHAnsi"/>
        </w:rPr>
        <w:t xml:space="preserve"> </w:t>
      </w:r>
      <w:r w:rsidR="00935A8F">
        <w:rPr>
          <w:rFonts w:cstheme="minorHAnsi"/>
        </w:rPr>
        <w:t xml:space="preserve">with a copy to </w:t>
      </w:r>
      <w:r w:rsidR="008B1328" w:rsidRPr="00E92C20">
        <w:rPr>
          <w:rFonts w:cstheme="minorHAnsi"/>
        </w:rPr>
        <w:t xml:space="preserve">Saumitra Bhadkamkar on </w:t>
      </w:r>
      <w:hyperlink r:id="rId12" w:history="1">
        <w:r w:rsidR="00935A8F" w:rsidRPr="00E04874">
          <w:rPr>
            <w:rStyle w:val="Hyperlink"/>
            <w:rFonts w:cstheme="minorHAnsi"/>
          </w:rPr>
          <w:t>saumitra.bhadkamkar@sharekhan.com</w:t>
        </w:r>
      </w:hyperlink>
      <w:r w:rsidR="00B9282C">
        <w:t>. Please send one email for each customer to help tracking</w:t>
      </w:r>
    </w:p>
    <w:p w:rsidR="00B9282C" w:rsidRPr="00B9282C" w:rsidRDefault="00B9282C" w:rsidP="00B9282C">
      <w:pPr>
        <w:pStyle w:val="NoSpacing"/>
        <w:numPr>
          <w:ilvl w:val="1"/>
          <w:numId w:val="14"/>
        </w:numPr>
        <w:rPr>
          <w:rFonts w:cstheme="minorHAnsi"/>
        </w:rPr>
      </w:pPr>
      <w:r w:rsidRPr="00B9282C">
        <w:rPr>
          <w:rFonts w:cstheme="minorHAnsi"/>
        </w:rPr>
        <w:t xml:space="preserve">Subject line should be </w:t>
      </w:r>
      <w:r>
        <w:rPr>
          <w:rFonts w:cstheme="minorHAnsi"/>
        </w:rPr>
        <w:t>&lt;</w:t>
      </w:r>
      <w:r w:rsidRPr="00B9282C">
        <w:rPr>
          <w:rFonts w:cstheme="minorHAnsi"/>
        </w:rPr>
        <w:t xml:space="preserve">Client code  + Name + </w:t>
      </w:r>
      <w:r>
        <w:rPr>
          <w:rFonts w:cstheme="minorHAnsi"/>
        </w:rPr>
        <w:t>ARN TRANSFER&gt;</w:t>
      </w:r>
    </w:p>
    <w:p w:rsidR="00B9282C" w:rsidRDefault="00B9282C" w:rsidP="00B9282C">
      <w:pPr>
        <w:pStyle w:val="NoSpacing"/>
        <w:numPr>
          <w:ilvl w:val="1"/>
          <w:numId w:val="14"/>
        </w:numPr>
        <w:rPr>
          <w:rFonts w:cstheme="minorHAnsi"/>
        </w:rPr>
      </w:pPr>
      <w:r w:rsidRPr="00B9282C">
        <w:rPr>
          <w:rFonts w:cstheme="minorHAnsi"/>
        </w:rPr>
        <w:t>Scan images to be named as per following method – custid-AMCshortname-folio number eg. (12345-DSP-123456-78).</w:t>
      </w:r>
    </w:p>
    <w:p w:rsidR="00B9282C" w:rsidRPr="00B9282C" w:rsidRDefault="00B9282C" w:rsidP="00B9282C">
      <w:pPr>
        <w:pStyle w:val="NoSpacing"/>
        <w:numPr>
          <w:ilvl w:val="1"/>
          <w:numId w:val="14"/>
        </w:numPr>
        <w:rPr>
          <w:rFonts w:cstheme="minorHAnsi"/>
        </w:rPr>
      </w:pPr>
      <w:r>
        <w:rPr>
          <w:rFonts w:cstheme="minorHAnsi"/>
        </w:rPr>
        <w:t>S</w:t>
      </w:r>
      <w:r w:rsidRPr="00B9282C">
        <w:rPr>
          <w:rFonts w:cstheme="minorHAnsi"/>
        </w:rPr>
        <w:t>hare MIS in below mentioned format with the scan images, this MIS can be consolidated but one MIS for one customer.</w:t>
      </w:r>
    </w:p>
    <w:tbl>
      <w:tblPr>
        <w:tblW w:w="5225" w:type="pct"/>
        <w:tblLayout w:type="fixed"/>
        <w:tblCellMar>
          <w:left w:w="0" w:type="dxa"/>
          <w:right w:w="0" w:type="dxa"/>
        </w:tblCellMar>
        <w:tblLook w:val="04A0"/>
      </w:tblPr>
      <w:tblGrid>
        <w:gridCol w:w="1279"/>
        <w:gridCol w:w="1095"/>
        <w:gridCol w:w="1063"/>
        <w:gridCol w:w="874"/>
        <w:gridCol w:w="1105"/>
        <w:gridCol w:w="1891"/>
        <w:gridCol w:w="900"/>
        <w:gridCol w:w="700"/>
        <w:gridCol w:w="652"/>
      </w:tblGrid>
      <w:tr w:rsidR="00B9282C" w:rsidRPr="00B9282C" w:rsidTr="00B9282C">
        <w:trPr>
          <w:trHeight w:val="315"/>
        </w:trPr>
        <w:tc>
          <w:tcPr>
            <w:tcW w:w="669"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B9282C" w:rsidRPr="00B9282C" w:rsidRDefault="00B9282C" w:rsidP="000B720A">
            <w:pPr>
              <w:jc w:val="center"/>
              <w:rPr>
                <w:rFonts w:ascii="Calibri" w:hAnsi="Calibri" w:cs="Calibri"/>
                <w:b/>
                <w:bCs/>
                <w:color w:val="000000"/>
                <w:sz w:val="18"/>
              </w:rPr>
            </w:pPr>
            <w:r w:rsidRPr="00B9282C">
              <w:rPr>
                <w:rFonts w:ascii="Calibri" w:hAnsi="Calibri" w:cs="Calibri"/>
                <w:b/>
                <w:bCs/>
                <w:color w:val="000000"/>
                <w:sz w:val="18"/>
              </w:rPr>
              <w:t>Conversion Type</w:t>
            </w:r>
          </w:p>
        </w:tc>
        <w:tc>
          <w:tcPr>
            <w:tcW w:w="573"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B9282C" w:rsidRPr="00B9282C" w:rsidRDefault="00B9282C" w:rsidP="000B720A">
            <w:pPr>
              <w:jc w:val="center"/>
              <w:rPr>
                <w:rFonts w:ascii="Calibri" w:hAnsi="Calibri" w:cs="Calibri"/>
                <w:b/>
                <w:bCs/>
                <w:color w:val="000000"/>
                <w:sz w:val="18"/>
              </w:rPr>
            </w:pPr>
            <w:r w:rsidRPr="00B9282C">
              <w:rPr>
                <w:rFonts w:ascii="Calibri" w:hAnsi="Calibri" w:cs="Calibri"/>
                <w:b/>
                <w:bCs/>
                <w:color w:val="000000"/>
                <w:sz w:val="18"/>
              </w:rPr>
              <w:t>Customer ID</w:t>
            </w:r>
          </w:p>
        </w:tc>
        <w:tc>
          <w:tcPr>
            <w:tcW w:w="556"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B9282C" w:rsidRPr="00B9282C" w:rsidRDefault="00B9282C" w:rsidP="000B720A">
            <w:pPr>
              <w:jc w:val="center"/>
              <w:rPr>
                <w:rFonts w:ascii="Calibri" w:hAnsi="Calibri" w:cs="Calibri"/>
                <w:b/>
                <w:bCs/>
                <w:color w:val="000000"/>
                <w:sz w:val="18"/>
              </w:rPr>
            </w:pPr>
            <w:r w:rsidRPr="00B9282C">
              <w:rPr>
                <w:rFonts w:ascii="Calibri" w:hAnsi="Calibri" w:cs="Calibri"/>
                <w:b/>
                <w:bCs/>
                <w:color w:val="000000"/>
                <w:sz w:val="18"/>
              </w:rPr>
              <w:t>Customer Name</w:t>
            </w:r>
          </w:p>
        </w:tc>
        <w:tc>
          <w:tcPr>
            <w:tcW w:w="457"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B9282C" w:rsidRPr="00B9282C" w:rsidRDefault="00B9282C" w:rsidP="000B720A">
            <w:pPr>
              <w:jc w:val="center"/>
              <w:rPr>
                <w:rFonts w:ascii="Calibri" w:hAnsi="Calibri" w:cs="Calibri"/>
                <w:b/>
                <w:bCs/>
                <w:color w:val="000000"/>
                <w:sz w:val="18"/>
              </w:rPr>
            </w:pPr>
            <w:r w:rsidRPr="00B9282C">
              <w:rPr>
                <w:rFonts w:ascii="Calibri" w:hAnsi="Calibri" w:cs="Calibri"/>
                <w:b/>
                <w:bCs/>
                <w:color w:val="000000"/>
                <w:sz w:val="18"/>
              </w:rPr>
              <w:t>Broker Code</w:t>
            </w:r>
          </w:p>
        </w:tc>
        <w:tc>
          <w:tcPr>
            <w:tcW w:w="578"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B9282C" w:rsidRPr="00B9282C" w:rsidRDefault="00B9282C" w:rsidP="000B720A">
            <w:pPr>
              <w:jc w:val="center"/>
              <w:rPr>
                <w:rFonts w:ascii="Calibri" w:hAnsi="Calibri" w:cs="Calibri"/>
                <w:b/>
                <w:bCs/>
                <w:color w:val="000000"/>
                <w:sz w:val="18"/>
              </w:rPr>
            </w:pPr>
            <w:r w:rsidRPr="00B9282C">
              <w:rPr>
                <w:rFonts w:ascii="Calibri" w:hAnsi="Calibri" w:cs="Calibri"/>
                <w:b/>
                <w:bCs/>
                <w:color w:val="000000"/>
                <w:sz w:val="18"/>
              </w:rPr>
              <w:t>AMC Name</w:t>
            </w:r>
          </w:p>
        </w:tc>
        <w:tc>
          <w:tcPr>
            <w:tcW w:w="989"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B9282C" w:rsidRPr="00B9282C" w:rsidRDefault="00B9282C" w:rsidP="000B720A">
            <w:pPr>
              <w:jc w:val="center"/>
              <w:rPr>
                <w:rFonts w:ascii="Calibri" w:hAnsi="Calibri" w:cs="Calibri"/>
                <w:b/>
                <w:bCs/>
                <w:color w:val="000000"/>
                <w:sz w:val="18"/>
              </w:rPr>
            </w:pPr>
            <w:r w:rsidRPr="00B9282C">
              <w:rPr>
                <w:rFonts w:ascii="Calibri" w:hAnsi="Calibri" w:cs="Calibri"/>
                <w:b/>
                <w:bCs/>
                <w:color w:val="000000"/>
                <w:sz w:val="18"/>
              </w:rPr>
              <w:t>AMC Scheme Name</w:t>
            </w:r>
          </w:p>
        </w:tc>
        <w:tc>
          <w:tcPr>
            <w:tcW w:w="471"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B9282C" w:rsidRPr="00B9282C" w:rsidRDefault="00B9282C" w:rsidP="000B720A">
            <w:pPr>
              <w:jc w:val="center"/>
              <w:rPr>
                <w:rFonts w:ascii="Calibri" w:hAnsi="Calibri" w:cs="Calibri"/>
                <w:b/>
                <w:bCs/>
                <w:color w:val="000000"/>
                <w:sz w:val="18"/>
              </w:rPr>
            </w:pPr>
            <w:r w:rsidRPr="00B9282C">
              <w:rPr>
                <w:rFonts w:ascii="Calibri" w:hAnsi="Calibri" w:cs="Calibri"/>
                <w:b/>
                <w:bCs/>
                <w:color w:val="000000"/>
                <w:sz w:val="18"/>
              </w:rPr>
              <w:t>Folio No</w:t>
            </w:r>
          </w:p>
        </w:tc>
        <w:tc>
          <w:tcPr>
            <w:tcW w:w="366" w:type="pct"/>
            <w:tcBorders>
              <w:top w:val="single" w:sz="8" w:space="0" w:color="auto"/>
              <w:left w:val="nil"/>
              <w:bottom w:val="single" w:sz="8" w:space="0" w:color="auto"/>
              <w:right w:val="single" w:sz="8" w:space="0" w:color="auto"/>
            </w:tcBorders>
            <w:hideMark/>
          </w:tcPr>
          <w:p w:rsidR="00B9282C" w:rsidRPr="00B9282C" w:rsidRDefault="00B9282C" w:rsidP="000B720A">
            <w:pPr>
              <w:jc w:val="center"/>
              <w:rPr>
                <w:rFonts w:ascii="Calibri" w:hAnsi="Calibri" w:cs="Calibri"/>
                <w:b/>
                <w:bCs/>
                <w:color w:val="000000"/>
                <w:sz w:val="18"/>
              </w:rPr>
            </w:pPr>
            <w:r w:rsidRPr="00B9282C">
              <w:rPr>
                <w:rFonts w:ascii="Calibri" w:hAnsi="Calibri" w:cs="Calibri"/>
                <w:b/>
                <w:bCs/>
                <w:color w:val="000000"/>
                <w:sz w:val="18"/>
              </w:rPr>
              <w:t>PAN No.</w:t>
            </w:r>
          </w:p>
        </w:tc>
        <w:tc>
          <w:tcPr>
            <w:tcW w:w="341" w:type="pct"/>
            <w:tcBorders>
              <w:top w:val="single" w:sz="8" w:space="0" w:color="auto"/>
              <w:left w:val="nil"/>
              <w:bottom w:val="single" w:sz="8" w:space="0" w:color="auto"/>
              <w:right w:val="single" w:sz="8" w:space="0" w:color="auto"/>
            </w:tcBorders>
            <w:hideMark/>
          </w:tcPr>
          <w:p w:rsidR="00B9282C" w:rsidRPr="00B9282C" w:rsidRDefault="00B9282C" w:rsidP="000B720A">
            <w:pPr>
              <w:jc w:val="center"/>
              <w:rPr>
                <w:rFonts w:ascii="Calibri" w:hAnsi="Calibri" w:cs="Calibri"/>
                <w:b/>
                <w:bCs/>
                <w:color w:val="000000"/>
                <w:sz w:val="18"/>
              </w:rPr>
            </w:pPr>
            <w:r w:rsidRPr="00B9282C">
              <w:rPr>
                <w:rFonts w:ascii="Calibri" w:hAnsi="Calibri" w:cs="Calibri"/>
                <w:b/>
                <w:bCs/>
                <w:color w:val="000000"/>
                <w:sz w:val="18"/>
              </w:rPr>
              <w:t>NO. of units</w:t>
            </w:r>
          </w:p>
        </w:tc>
      </w:tr>
      <w:tr w:rsidR="00B9282C" w:rsidRPr="00B9282C" w:rsidTr="00B9282C">
        <w:trPr>
          <w:trHeight w:val="300"/>
        </w:trPr>
        <w:tc>
          <w:tcPr>
            <w:tcW w:w="66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9282C" w:rsidRPr="00B9282C" w:rsidRDefault="00B9282C" w:rsidP="000B720A">
            <w:pPr>
              <w:jc w:val="center"/>
              <w:rPr>
                <w:rFonts w:ascii="Calibri" w:hAnsi="Calibri" w:cs="Calibri"/>
                <w:color w:val="000000"/>
                <w:sz w:val="18"/>
              </w:rPr>
            </w:pPr>
            <w:r w:rsidRPr="00B9282C">
              <w:rPr>
                <w:rFonts w:ascii="Calibri" w:hAnsi="Calibri" w:cs="Calibri"/>
                <w:color w:val="000000"/>
                <w:sz w:val="18"/>
              </w:rPr>
              <w:t>NON SHAREKHAN - SHAREKHAN</w:t>
            </w:r>
          </w:p>
        </w:tc>
        <w:tc>
          <w:tcPr>
            <w:tcW w:w="573"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9282C" w:rsidRPr="00B9282C" w:rsidRDefault="00B9282C" w:rsidP="000B720A">
            <w:pPr>
              <w:jc w:val="center"/>
              <w:rPr>
                <w:rFonts w:ascii="Calibri" w:hAnsi="Calibri" w:cs="Calibri"/>
                <w:color w:val="000000"/>
                <w:sz w:val="18"/>
              </w:rPr>
            </w:pPr>
            <w:r w:rsidRPr="00B9282C">
              <w:rPr>
                <w:rFonts w:ascii="Calibri" w:hAnsi="Calibri" w:cs="Calibri"/>
                <w:color w:val="000000"/>
                <w:sz w:val="18"/>
              </w:rPr>
              <w:t>12345</w:t>
            </w:r>
          </w:p>
        </w:tc>
        <w:tc>
          <w:tcPr>
            <w:tcW w:w="55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9282C" w:rsidRPr="00B9282C" w:rsidRDefault="00B9282C" w:rsidP="000B720A">
            <w:pPr>
              <w:jc w:val="center"/>
              <w:rPr>
                <w:rFonts w:ascii="Calibri" w:hAnsi="Calibri" w:cs="Calibri"/>
                <w:color w:val="000000"/>
                <w:sz w:val="18"/>
              </w:rPr>
            </w:pPr>
            <w:r w:rsidRPr="00B9282C">
              <w:rPr>
                <w:rFonts w:ascii="Calibri" w:hAnsi="Calibri" w:cs="Calibri"/>
                <w:color w:val="000000"/>
                <w:sz w:val="18"/>
              </w:rPr>
              <w:t>Saumitra Bhadkamkar</w:t>
            </w:r>
          </w:p>
        </w:tc>
        <w:tc>
          <w:tcPr>
            <w:tcW w:w="45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9282C" w:rsidRPr="00B9282C" w:rsidRDefault="00B9282C" w:rsidP="000B720A">
            <w:pPr>
              <w:jc w:val="center"/>
              <w:rPr>
                <w:rFonts w:ascii="Calibri" w:hAnsi="Calibri" w:cs="Calibri"/>
                <w:color w:val="000000"/>
                <w:sz w:val="18"/>
              </w:rPr>
            </w:pPr>
            <w:r w:rsidRPr="00B9282C">
              <w:rPr>
                <w:rFonts w:ascii="Calibri" w:hAnsi="Calibri" w:cs="Calibri"/>
                <w:color w:val="000000"/>
                <w:sz w:val="18"/>
              </w:rPr>
              <w:t>ARN-20669</w:t>
            </w:r>
          </w:p>
        </w:tc>
        <w:tc>
          <w:tcPr>
            <w:tcW w:w="57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9282C" w:rsidRPr="00B9282C" w:rsidRDefault="00B9282C" w:rsidP="000B720A">
            <w:pPr>
              <w:jc w:val="center"/>
              <w:rPr>
                <w:rFonts w:ascii="Calibri" w:hAnsi="Calibri" w:cs="Calibri"/>
                <w:color w:val="000000"/>
                <w:sz w:val="18"/>
              </w:rPr>
            </w:pPr>
            <w:r w:rsidRPr="00B9282C">
              <w:rPr>
                <w:rFonts w:ascii="Calibri" w:hAnsi="Calibri" w:cs="Calibri"/>
                <w:color w:val="000000"/>
                <w:sz w:val="18"/>
              </w:rPr>
              <w:t>DSP MUTUAL FUND</w:t>
            </w:r>
          </w:p>
        </w:tc>
        <w:tc>
          <w:tcPr>
            <w:tcW w:w="98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9282C" w:rsidRPr="00B9282C" w:rsidRDefault="00B9282C" w:rsidP="000B720A">
            <w:pPr>
              <w:jc w:val="center"/>
              <w:rPr>
                <w:rFonts w:ascii="Calibri" w:hAnsi="Calibri" w:cs="Calibri"/>
                <w:color w:val="000000"/>
                <w:sz w:val="18"/>
              </w:rPr>
            </w:pPr>
            <w:r w:rsidRPr="00B9282C">
              <w:rPr>
                <w:rFonts w:ascii="Calibri" w:hAnsi="Calibri" w:cs="Calibri"/>
                <w:color w:val="000000"/>
                <w:sz w:val="18"/>
              </w:rPr>
              <w:t>DSP Taxsaver Fund - Growth</w:t>
            </w:r>
          </w:p>
        </w:tc>
        <w:tc>
          <w:tcPr>
            <w:tcW w:w="47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9282C" w:rsidRPr="00B9282C" w:rsidRDefault="00B9282C" w:rsidP="000B720A">
            <w:pPr>
              <w:jc w:val="center"/>
              <w:rPr>
                <w:rFonts w:ascii="Calibri" w:hAnsi="Calibri" w:cs="Calibri"/>
                <w:color w:val="000000"/>
                <w:sz w:val="18"/>
              </w:rPr>
            </w:pPr>
            <w:r w:rsidRPr="00B9282C">
              <w:rPr>
                <w:rFonts w:ascii="Calibri" w:hAnsi="Calibri" w:cs="Calibri"/>
                <w:color w:val="000000"/>
                <w:sz w:val="18"/>
              </w:rPr>
              <w:t>1234567/89</w:t>
            </w:r>
          </w:p>
        </w:tc>
        <w:tc>
          <w:tcPr>
            <w:tcW w:w="366" w:type="pct"/>
            <w:tcBorders>
              <w:top w:val="nil"/>
              <w:left w:val="nil"/>
              <w:bottom w:val="single" w:sz="8" w:space="0" w:color="auto"/>
              <w:right w:val="single" w:sz="8" w:space="0" w:color="auto"/>
            </w:tcBorders>
            <w:hideMark/>
          </w:tcPr>
          <w:p w:rsidR="00B9282C" w:rsidRPr="00B9282C" w:rsidRDefault="00B9282C" w:rsidP="000B720A">
            <w:pPr>
              <w:jc w:val="center"/>
              <w:rPr>
                <w:rFonts w:ascii="Calibri" w:hAnsi="Calibri" w:cs="Calibri"/>
                <w:color w:val="000000"/>
                <w:sz w:val="18"/>
              </w:rPr>
            </w:pPr>
            <w:r w:rsidRPr="00B9282C">
              <w:rPr>
                <w:rFonts w:ascii="Calibri" w:hAnsi="Calibri" w:cs="Calibri"/>
                <w:color w:val="000000"/>
                <w:sz w:val="18"/>
              </w:rPr>
              <w:t>ABCDE1234G</w:t>
            </w:r>
          </w:p>
        </w:tc>
        <w:tc>
          <w:tcPr>
            <w:tcW w:w="341" w:type="pct"/>
            <w:tcBorders>
              <w:top w:val="nil"/>
              <w:left w:val="nil"/>
              <w:bottom w:val="single" w:sz="8" w:space="0" w:color="auto"/>
              <w:right w:val="single" w:sz="8" w:space="0" w:color="auto"/>
            </w:tcBorders>
          </w:tcPr>
          <w:p w:rsidR="00B9282C" w:rsidRPr="00B9282C" w:rsidRDefault="00B9282C" w:rsidP="000B720A">
            <w:pPr>
              <w:jc w:val="center"/>
              <w:rPr>
                <w:rFonts w:ascii="Calibri" w:hAnsi="Calibri" w:cs="Calibri"/>
                <w:color w:val="000000"/>
                <w:sz w:val="18"/>
              </w:rPr>
            </w:pPr>
          </w:p>
        </w:tc>
      </w:tr>
      <w:tr w:rsidR="00B9282C" w:rsidRPr="00B9282C" w:rsidTr="00B9282C">
        <w:trPr>
          <w:trHeight w:val="300"/>
        </w:trPr>
        <w:tc>
          <w:tcPr>
            <w:tcW w:w="66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9282C" w:rsidRPr="00B9282C" w:rsidRDefault="00B9282C" w:rsidP="000B720A">
            <w:pPr>
              <w:jc w:val="center"/>
              <w:rPr>
                <w:rFonts w:ascii="Calibri" w:hAnsi="Calibri" w:cs="Calibri"/>
                <w:color w:val="000000"/>
                <w:sz w:val="18"/>
              </w:rPr>
            </w:pPr>
            <w:r w:rsidRPr="00B9282C">
              <w:rPr>
                <w:rFonts w:ascii="Calibri" w:hAnsi="Calibri" w:cs="Calibri"/>
                <w:color w:val="000000"/>
                <w:sz w:val="18"/>
              </w:rPr>
              <w:t>NON SHAREKHAN - SHAREKHAN</w:t>
            </w:r>
          </w:p>
        </w:tc>
        <w:tc>
          <w:tcPr>
            <w:tcW w:w="573"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9282C" w:rsidRPr="00B9282C" w:rsidRDefault="00B9282C" w:rsidP="000B720A">
            <w:pPr>
              <w:jc w:val="center"/>
              <w:rPr>
                <w:rFonts w:ascii="Calibri" w:hAnsi="Calibri" w:cs="Calibri"/>
                <w:color w:val="000000"/>
                <w:sz w:val="18"/>
              </w:rPr>
            </w:pPr>
            <w:r w:rsidRPr="00B9282C">
              <w:rPr>
                <w:rFonts w:ascii="Calibri" w:hAnsi="Calibri" w:cs="Calibri"/>
                <w:color w:val="000000"/>
                <w:sz w:val="18"/>
              </w:rPr>
              <w:t>12345</w:t>
            </w:r>
          </w:p>
        </w:tc>
        <w:tc>
          <w:tcPr>
            <w:tcW w:w="55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9282C" w:rsidRPr="00B9282C" w:rsidRDefault="00B9282C" w:rsidP="000B720A">
            <w:pPr>
              <w:jc w:val="center"/>
              <w:rPr>
                <w:rFonts w:ascii="Calibri" w:hAnsi="Calibri" w:cs="Calibri"/>
                <w:color w:val="000000"/>
                <w:sz w:val="18"/>
              </w:rPr>
            </w:pPr>
            <w:r w:rsidRPr="00B9282C">
              <w:rPr>
                <w:rFonts w:ascii="Calibri" w:hAnsi="Calibri" w:cs="Calibri"/>
                <w:color w:val="000000"/>
                <w:sz w:val="18"/>
              </w:rPr>
              <w:t>Saumitra Bhadkamkar</w:t>
            </w:r>
          </w:p>
        </w:tc>
        <w:tc>
          <w:tcPr>
            <w:tcW w:w="45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9282C" w:rsidRPr="00B9282C" w:rsidRDefault="00B9282C" w:rsidP="000B720A">
            <w:pPr>
              <w:jc w:val="center"/>
              <w:rPr>
                <w:rFonts w:ascii="Calibri" w:hAnsi="Calibri" w:cs="Calibri"/>
                <w:color w:val="000000"/>
                <w:sz w:val="18"/>
              </w:rPr>
            </w:pPr>
            <w:r w:rsidRPr="00B9282C">
              <w:rPr>
                <w:rFonts w:ascii="Calibri" w:hAnsi="Calibri" w:cs="Calibri"/>
                <w:color w:val="000000"/>
                <w:sz w:val="18"/>
              </w:rPr>
              <w:t>ARN-20669</w:t>
            </w:r>
          </w:p>
        </w:tc>
        <w:tc>
          <w:tcPr>
            <w:tcW w:w="57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9282C" w:rsidRPr="00B9282C" w:rsidRDefault="00B9282C" w:rsidP="000B720A">
            <w:pPr>
              <w:jc w:val="center"/>
              <w:rPr>
                <w:rFonts w:ascii="Calibri" w:hAnsi="Calibri" w:cs="Calibri"/>
                <w:color w:val="000000"/>
                <w:sz w:val="18"/>
              </w:rPr>
            </w:pPr>
            <w:r w:rsidRPr="00B9282C">
              <w:rPr>
                <w:rFonts w:ascii="Calibri" w:hAnsi="Calibri" w:cs="Calibri"/>
                <w:color w:val="000000"/>
                <w:sz w:val="18"/>
              </w:rPr>
              <w:t>Mirae Asset Mutual Fund</w:t>
            </w:r>
          </w:p>
        </w:tc>
        <w:tc>
          <w:tcPr>
            <w:tcW w:w="98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9282C" w:rsidRPr="00B9282C" w:rsidRDefault="00B9282C" w:rsidP="000B720A">
            <w:pPr>
              <w:jc w:val="center"/>
              <w:rPr>
                <w:rFonts w:ascii="Calibri" w:hAnsi="Calibri" w:cs="Calibri"/>
                <w:color w:val="000000"/>
                <w:sz w:val="18"/>
              </w:rPr>
            </w:pPr>
            <w:r w:rsidRPr="00B9282C">
              <w:rPr>
                <w:rFonts w:ascii="Calibri" w:hAnsi="Calibri" w:cs="Calibri"/>
                <w:color w:val="000000"/>
                <w:sz w:val="18"/>
              </w:rPr>
              <w:t>Mirae Emerging Bluechip fund - Growth</w:t>
            </w:r>
          </w:p>
        </w:tc>
        <w:tc>
          <w:tcPr>
            <w:tcW w:w="47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9282C" w:rsidRPr="00B9282C" w:rsidRDefault="00B9282C" w:rsidP="000B720A">
            <w:pPr>
              <w:jc w:val="right"/>
              <w:rPr>
                <w:rFonts w:ascii="Calibri" w:hAnsi="Calibri" w:cs="Calibri"/>
                <w:color w:val="000000"/>
                <w:sz w:val="18"/>
              </w:rPr>
            </w:pPr>
            <w:r w:rsidRPr="00B9282C">
              <w:rPr>
                <w:rFonts w:ascii="Calibri" w:hAnsi="Calibri" w:cs="Calibri"/>
                <w:color w:val="000000"/>
                <w:sz w:val="18"/>
              </w:rPr>
              <w:t>123456789</w:t>
            </w:r>
          </w:p>
        </w:tc>
        <w:tc>
          <w:tcPr>
            <w:tcW w:w="366" w:type="pct"/>
            <w:tcBorders>
              <w:top w:val="nil"/>
              <w:left w:val="nil"/>
              <w:bottom w:val="single" w:sz="8" w:space="0" w:color="auto"/>
              <w:right w:val="single" w:sz="8" w:space="0" w:color="auto"/>
            </w:tcBorders>
            <w:hideMark/>
          </w:tcPr>
          <w:p w:rsidR="00B9282C" w:rsidRPr="00B9282C" w:rsidRDefault="00B9282C" w:rsidP="000B720A">
            <w:pPr>
              <w:jc w:val="right"/>
              <w:rPr>
                <w:rFonts w:ascii="Calibri" w:hAnsi="Calibri" w:cs="Calibri"/>
                <w:color w:val="000000"/>
                <w:sz w:val="18"/>
              </w:rPr>
            </w:pPr>
            <w:r w:rsidRPr="00B9282C">
              <w:rPr>
                <w:rFonts w:ascii="Calibri" w:hAnsi="Calibri" w:cs="Calibri"/>
                <w:color w:val="000000"/>
                <w:sz w:val="18"/>
              </w:rPr>
              <w:t>ABCDE1234G</w:t>
            </w:r>
          </w:p>
        </w:tc>
        <w:tc>
          <w:tcPr>
            <w:tcW w:w="341" w:type="pct"/>
            <w:tcBorders>
              <w:top w:val="nil"/>
              <w:left w:val="nil"/>
              <w:bottom w:val="single" w:sz="8" w:space="0" w:color="auto"/>
              <w:right w:val="single" w:sz="8" w:space="0" w:color="auto"/>
            </w:tcBorders>
          </w:tcPr>
          <w:p w:rsidR="00B9282C" w:rsidRPr="00B9282C" w:rsidRDefault="00B9282C" w:rsidP="000B720A">
            <w:pPr>
              <w:jc w:val="right"/>
              <w:rPr>
                <w:rFonts w:ascii="Calibri" w:hAnsi="Calibri" w:cs="Calibri"/>
                <w:color w:val="000000"/>
                <w:sz w:val="18"/>
              </w:rPr>
            </w:pPr>
          </w:p>
        </w:tc>
      </w:tr>
    </w:tbl>
    <w:p w:rsidR="00B9282C" w:rsidRDefault="00B9282C" w:rsidP="00B9282C"/>
    <w:p w:rsidR="00DA5D8C" w:rsidRDefault="00DA5D8C" w:rsidP="00DA5D8C">
      <w:pPr>
        <w:spacing w:after="0" w:line="240" w:lineRule="auto"/>
        <w:rPr>
          <w:rFonts w:cstheme="minorHAnsi"/>
          <w:b/>
        </w:rPr>
      </w:pPr>
      <w:r>
        <w:rPr>
          <w:rFonts w:cstheme="minorHAnsi"/>
          <w:b/>
        </w:rPr>
        <w:t>After the Transfer Process:</w:t>
      </w:r>
    </w:p>
    <w:p w:rsidR="00DA5D8C" w:rsidRPr="00EF574A" w:rsidRDefault="00DA5D8C" w:rsidP="00DA5D8C">
      <w:pPr>
        <w:pStyle w:val="ListParagraph"/>
        <w:numPr>
          <w:ilvl w:val="0"/>
          <w:numId w:val="12"/>
        </w:numPr>
        <w:spacing w:after="0" w:line="240" w:lineRule="auto"/>
        <w:rPr>
          <w:rFonts w:cstheme="minorHAnsi"/>
        </w:rPr>
      </w:pPr>
      <w:r w:rsidRPr="00EF574A">
        <w:rPr>
          <w:rFonts w:cstheme="minorHAnsi"/>
        </w:rPr>
        <w:t>Check Bank account linked in the folio</w:t>
      </w:r>
    </w:p>
    <w:p w:rsidR="00DA5D8C" w:rsidRDefault="00DA5D8C" w:rsidP="00DA5D8C">
      <w:pPr>
        <w:pStyle w:val="ListParagraph"/>
        <w:numPr>
          <w:ilvl w:val="0"/>
          <w:numId w:val="13"/>
        </w:numPr>
        <w:spacing w:after="0" w:line="240" w:lineRule="auto"/>
        <w:rPr>
          <w:rFonts w:cstheme="minorHAnsi"/>
        </w:rPr>
      </w:pPr>
      <w:r w:rsidRPr="00EF574A">
        <w:rPr>
          <w:rFonts w:cstheme="minorHAnsi"/>
        </w:rPr>
        <w:t>Bank account linked in the folio may be different from the bank which is registered in Sharekhan, in such case it is suggested to change the bank, so that there will be uniformity in banks and at the time of redemption amount will get credited in correct bank without any hassle, customer need to provide old bank details to Sharekhan MF Operations team</w:t>
      </w:r>
    </w:p>
    <w:p w:rsidR="00DA5D8C" w:rsidRDefault="00DA5D8C" w:rsidP="00DA5D8C">
      <w:pPr>
        <w:pStyle w:val="ListParagraph"/>
        <w:numPr>
          <w:ilvl w:val="0"/>
          <w:numId w:val="12"/>
        </w:numPr>
        <w:spacing w:after="0" w:line="240" w:lineRule="auto"/>
        <w:rPr>
          <w:rFonts w:cstheme="minorHAnsi"/>
        </w:rPr>
      </w:pPr>
      <w:r>
        <w:rPr>
          <w:rFonts w:cstheme="minorHAnsi"/>
        </w:rPr>
        <w:t>Check n</w:t>
      </w:r>
      <w:r w:rsidRPr="00985A75">
        <w:rPr>
          <w:rFonts w:cstheme="minorHAnsi"/>
        </w:rPr>
        <w:t>omine</w:t>
      </w:r>
      <w:r>
        <w:rPr>
          <w:rFonts w:cstheme="minorHAnsi"/>
        </w:rPr>
        <w:t>e details</w:t>
      </w:r>
    </w:p>
    <w:p w:rsidR="00DA5D8C" w:rsidRDefault="00DA5D8C" w:rsidP="00DA5D8C">
      <w:pPr>
        <w:pStyle w:val="ListParagraph"/>
        <w:numPr>
          <w:ilvl w:val="0"/>
          <w:numId w:val="13"/>
        </w:numPr>
        <w:spacing w:after="0" w:line="240" w:lineRule="auto"/>
        <w:rPr>
          <w:rFonts w:cstheme="minorHAnsi"/>
        </w:rPr>
      </w:pPr>
      <w:r>
        <w:rPr>
          <w:rFonts w:cstheme="minorHAnsi"/>
        </w:rPr>
        <w:t>V</w:t>
      </w:r>
      <w:r w:rsidRPr="00985A75">
        <w:rPr>
          <w:rFonts w:cstheme="minorHAnsi"/>
        </w:rPr>
        <w:t xml:space="preserve">erify the details and get the same freshly updated in </w:t>
      </w:r>
      <w:r>
        <w:rPr>
          <w:rFonts w:cstheme="minorHAnsi"/>
        </w:rPr>
        <w:t>transferred folio if required</w:t>
      </w:r>
      <w:r w:rsidRPr="00985A75">
        <w:rPr>
          <w:rFonts w:cstheme="minorHAnsi"/>
        </w:rPr>
        <w:t>.</w:t>
      </w:r>
    </w:p>
    <w:p w:rsidR="00DA5D8C" w:rsidRDefault="00DA5D8C" w:rsidP="00B9282C"/>
    <w:p w:rsidR="00B9282C" w:rsidRPr="00B9282C" w:rsidRDefault="00B9282C" w:rsidP="00B9282C">
      <w:pPr>
        <w:spacing w:after="0" w:line="240" w:lineRule="auto"/>
        <w:rPr>
          <w:rFonts w:cstheme="minorHAnsi"/>
        </w:rPr>
      </w:pPr>
    </w:p>
    <w:p w:rsidR="00586140" w:rsidRDefault="00586140" w:rsidP="00586140">
      <w:pPr>
        <w:pStyle w:val="ListParagraph"/>
        <w:spacing w:after="0" w:line="240" w:lineRule="auto"/>
        <w:ind w:left="360"/>
        <w:rPr>
          <w:rFonts w:cstheme="minorHAnsi"/>
        </w:rPr>
      </w:pPr>
    </w:p>
    <w:p w:rsidR="00586140" w:rsidRPr="00E92C20" w:rsidRDefault="00586140" w:rsidP="00586140">
      <w:pPr>
        <w:pStyle w:val="ListParagraph"/>
        <w:spacing w:after="0" w:line="240" w:lineRule="auto"/>
        <w:ind w:left="360"/>
        <w:rPr>
          <w:rFonts w:cstheme="minorHAnsi"/>
        </w:rPr>
      </w:pPr>
    </w:p>
    <w:p w:rsidR="00A365F3" w:rsidRPr="00B07C00" w:rsidRDefault="00A365F3" w:rsidP="00B07C00">
      <w:pPr>
        <w:spacing w:after="0" w:line="240" w:lineRule="auto"/>
        <w:rPr>
          <w:rFonts w:cstheme="minorHAnsi"/>
        </w:rPr>
      </w:pPr>
    </w:p>
    <w:sectPr w:rsidR="00A365F3" w:rsidRPr="00B07C00" w:rsidSect="0068624B">
      <w:headerReference w:type="default" r:id="rId13"/>
      <w:footerReference w:type="default" r:id="rId14"/>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3C1" w:rsidRDefault="006D63C1" w:rsidP="00B17FD9">
      <w:pPr>
        <w:spacing w:after="0" w:line="240" w:lineRule="auto"/>
      </w:pPr>
      <w:r>
        <w:separator/>
      </w:r>
    </w:p>
  </w:endnote>
  <w:endnote w:type="continuationSeparator" w:id="1">
    <w:p w:rsidR="006D63C1" w:rsidRDefault="006D63C1" w:rsidP="00B17F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3507079"/>
      <w:docPartObj>
        <w:docPartGallery w:val="Page Numbers (Bottom of Page)"/>
        <w:docPartUnique/>
      </w:docPartObj>
    </w:sdtPr>
    <w:sdtContent>
      <w:sdt>
        <w:sdtPr>
          <w:id w:val="565050477"/>
          <w:docPartObj>
            <w:docPartGallery w:val="Page Numbers (Top of Page)"/>
            <w:docPartUnique/>
          </w:docPartObj>
        </w:sdtPr>
        <w:sdtContent>
          <w:p w:rsidR="00B17FD9" w:rsidRDefault="00B17FD9">
            <w:pPr>
              <w:pStyle w:val="Footer"/>
              <w:jc w:val="center"/>
            </w:pPr>
            <w:r>
              <w:t xml:space="preserve">INTERNAL Page </w:t>
            </w:r>
            <w:r w:rsidR="00412522">
              <w:rPr>
                <w:b/>
                <w:sz w:val="24"/>
                <w:szCs w:val="24"/>
              </w:rPr>
              <w:fldChar w:fldCharType="begin"/>
            </w:r>
            <w:r>
              <w:rPr>
                <w:b/>
              </w:rPr>
              <w:instrText xml:space="preserve"> PAGE </w:instrText>
            </w:r>
            <w:r w:rsidR="00412522">
              <w:rPr>
                <w:b/>
                <w:sz w:val="24"/>
                <w:szCs w:val="24"/>
              </w:rPr>
              <w:fldChar w:fldCharType="separate"/>
            </w:r>
            <w:r w:rsidR="007E1EF0">
              <w:rPr>
                <w:b/>
                <w:noProof/>
              </w:rPr>
              <w:t>1</w:t>
            </w:r>
            <w:r w:rsidR="00412522">
              <w:rPr>
                <w:b/>
                <w:sz w:val="24"/>
                <w:szCs w:val="24"/>
              </w:rPr>
              <w:fldChar w:fldCharType="end"/>
            </w:r>
            <w:r>
              <w:t xml:space="preserve"> of </w:t>
            </w:r>
            <w:r w:rsidR="00412522">
              <w:rPr>
                <w:b/>
                <w:sz w:val="24"/>
                <w:szCs w:val="24"/>
              </w:rPr>
              <w:fldChar w:fldCharType="begin"/>
            </w:r>
            <w:r>
              <w:rPr>
                <w:b/>
              </w:rPr>
              <w:instrText xml:space="preserve"> NUMPAGES  </w:instrText>
            </w:r>
            <w:r w:rsidR="00412522">
              <w:rPr>
                <w:b/>
                <w:sz w:val="24"/>
                <w:szCs w:val="24"/>
              </w:rPr>
              <w:fldChar w:fldCharType="separate"/>
            </w:r>
            <w:r w:rsidR="007E1EF0">
              <w:rPr>
                <w:b/>
                <w:noProof/>
              </w:rPr>
              <w:t>2</w:t>
            </w:r>
            <w:r w:rsidR="00412522">
              <w:rPr>
                <w:b/>
                <w:sz w:val="24"/>
                <w:szCs w:val="24"/>
              </w:rPr>
              <w:fldChar w:fldCharType="end"/>
            </w:r>
          </w:p>
        </w:sdtContent>
      </w:sdt>
    </w:sdtContent>
  </w:sdt>
  <w:p w:rsidR="00B17FD9" w:rsidRDefault="00B17F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3C1" w:rsidRDefault="006D63C1" w:rsidP="00B17FD9">
      <w:pPr>
        <w:spacing w:after="0" w:line="240" w:lineRule="auto"/>
      </w:pPr>
      <w:r>
        <w:separator/>
      </w:r>
    </w:p>
  </w:footnote>
  <w:footnote w:type="continuationSeparator" w:id="1">
    <w:p w:rsidR="006D63C1" w:rsidRDefault="006D63C1" w:rsidP="00B17F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106"/>
      <w:gridCol w:w="1153"/>
    </w:tblGrid>
    <w:tr w:rsidR="00A705CC">
      <w:trPr>
        <w:trHeight w:val="288"/>
      </w:trPr>
      <w:sdt>
        <w:sdtPr>
          <w:rPr>
            <w:rFonts w:eastAsiaTheme="majorEastAsia" w:cstheme="minorHAnsi"/>
            <w:sz w:val="36"/>
            <w:szCs w:val="36"/>
          </w:rPr>
          <w:alias w:val="Title"/>
          <w:id w:val="77761602"/>
          <w:placeholder>
            <w:docPart w:val="A36E622D36364A949375FA2F5F65E72A"/>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A705CC" w:rsidRPr="00046EB6" w:rsidRDefault="00982299" w:rsidP="00982299">
              <w:pPr>
                <w:pStyle w:val="Header"/>
                <w:jc w:val="right"/>
                <w:rPr>
                  <w:rFonts w:eastAsiaTheme="majorEastAsia" w:cstheme="minorHAnsi"/>
                  <w:sz w:val="36"/>
                  <w:szCs w:val="36"/>
                </w:rPr>
              </w:pPr>
              <w:r w:rsidRPr="00046EB6">
                <w:rPr>
                  <w:rFonts w:eastAsiaTheme="majorEastAsia" w:cstheme="minorHAnsi"/>
                  <w:sz w:val="36"/>
                  <w:szCs w:val="36"/>
                </w:rPr>
                <w:t>MUTUAL FUND SALES ENABLER</w:t>
              </w:r>
            </w:p>
          </w:tc>
        </w:sdtContent>
      </w:sdt>
      <w:sdt>
        <w:sdtPr>
          <w:rPr>
            <w:rFonts w:eastAsiaTheme="majorEastAsia" w:cstheme="minorHAnsi"/>
            <w:b/>
            <w:bCs/>
            <w:color w:val="4F81BD" w:themeColor="accent1"/>
            <w:sz w:val="36"/>
            <w:szCs w:val="36"/>
          </w:rPr>
          <w:alias w:val="Year"/>
          <w:id w:val="77761609"/>
          <w:placeholder>
            <w:docPart w:val="EB284CFE0EAF44879D2F3220ED07D185"/>
          </w:placeholder>
          <w:dataBinding w:prefixMappings="xmlns:ns0='http://schemas.microsoft.com/office/2006/coverPageProps'" w:xpath="/ns0:CoverPageProperties[1]/ns0:PublishDate[1]" w:storeItemID="{55AF091B-3C7A-41E3-B477-F2FDAA23CFDA}"/>
          <w:date w:fullDate="2021-01-01T00:00:00Z">
            <w:dateFormat w:val="yyyy"/>
            <w:lid w:val="en-US"/>
            <w:storeMappedDataAs w:val="dateTime"/>
            <w:calendar w:val="gregorian"/>
          </w:date>
        </w:sdtPr>
        <w:sdtContent>
          <w:tc>
            <w:tcPr>
              <w:tcW w:w="1105" w:type="dxa"/>
            </w:tcPr>
            <w:p w:rsidR="00A705CC" w:rsidRPr="00046EB6" w:rsidRDefault="00982299" w:rsidP="00982299">
              <w:pPr>
                <w:pStyle w:val="Header"/>
                <w:rPr>
                  <w:rFonts w:eastAsiaTheme="majorEastAsia" w:cstheme="minorHAnsi"/>
                  <w:b/>
                  <w:bCs/>
                  <w:color w:val="4F81BD" w:themeColor="accent1"/>
                  <w:sz w:val="36"/>
                  <w:szCs w:val="36"/>
                </w:rPr>
              </w:pPr>
              <w:r w:rsidRPr="00046EB6">
                <w:rPr>
                  <w:rFonts w:eastAsiaTheme="majorEastAsia" w:cstheme="minorHAnsi"/>
                  <w:b/>
                  <w:bCs/>
                  <w:color w:val="4F81BD" w:themeColor="accent1"/>
                  <w:sz w:val="36"/>
                  <w:szCs w:val="36"/>
                </w:rPr>
                <w:t>2021</w:t>
              </w:r>
            </w:p>
          </w:tc>
        </w:sdtContent>
      </w:sdt>
    </w:tr>
  </w:tbl>
  <w:p w:rsidR="00A705CC" w:rsidRDefault="00A705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040A4"/>
    <w:multiLevelType w:val="hybridMultilevel"/>
    <w:tmpl w:val="CE182B8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802134"/>
    <w:multiLevelType w:val="hybridMultilevel"/>
    <w:tmpl w:val="E9806CD8"/>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690408"/>
    <w:multiLevelType w:val="hybridMultilevel"/>
    <w:tmpl w:val="AFFCD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7653DD"/>
    <w:multiLevelType w:val="hybridMultilevel"/>
    <w:tmpl w:val="71983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4124F4"/>
    <w:multiLevelType w:val="hybridMultilevel"/>
    <w:tmpl w:val="CF905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27548B"/>
    <w:multiLevelType w:val="hybridMultilevel"/>
    <w:tmpl w:val="48E03F98"/>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1C1B1F"/>
    <w:multiLevelType w:val="hybridMultilevel"/>
    <w:tmpl w:val="3300EE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1DC2FA5"/>
    <w:multiLevelType w:val="hybridMultilevel"/>
    <w:tmpl w:val="8EF4A55A"/>
    <w:lvl w:ilvl="0" w:tplc="1D1E5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97772C"/>
    <w:multiLevelType w:val="hybridMultilevel"/>
    <w:tmpl w:val="497221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A6D416C"/>
    <w:multiLevelType w:val="hybridMultilevel"/>
    <w:tmpl w:val="B37E91B2"/>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0B9535F"/>
    <w:multiLevelType w:val="hybridMultilevel"/>
    <w:tmpl w:val="6CE892DA"/>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62F3C23"/>
    <w:multiLevelType w:val="hybridMultilevel"/>
    <w:tmpl w:val="794601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91275DE"/>
    <w:multiLevelType w:val="hybridMultilevel"/>
    <w:tmpl w:val="2822FF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D184407"/>
    <w:multiLevelType w:val="hybridMultilevel"/>
    <w:tmpl w:val="4F0E4F96"/>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2"/>
  </w:num>
  <w:num w:numId="3">
    <w:abstractNumId w:val="0"/>
  </w:num>
  <w:num w:numId="4">
    <w:abstractNumId w:val="7"/>
  </w:num>
  <w:num w:numId="5">
    <w:abstractNumId w:val="13"/>
  </w:num>
  <w:num w:numId="6">
    <w:abstractNumId w:val="2"/>
  </w:num>
  <w:num w:numId="7">
    <w:abstractNumId w:val="11"/>
  </w:num>
  <w:num w:numId="8">
    <w:abstractNumId w:val="6"/>
  </w:num>
  <w:num w:numId="9">
    <w:abstractNumId w:val="1"/>
  </w:num>
  <w:num w:numId="10">
    <w:abstractNumId w:val="4"/>
  </w:num>
  <w:num w:numId="11">
    <w:abstractNumId w:val="10"/>
  </w:num>
  <w:num w:numId="12">
    <w:abstractNumId w:val="9"/>
  </w:num>
  <w:num w:numId="13">
    <w:abstractNumId w:val="3"/>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8624B"/>
    <w:rsid w:val="00000F56"/>
    <w:rsid w:val="00002890"/>
    <w:rsid w:val="0002468D"/>
    <w:rsid w:val="00046EB6"/>
    <w:rsid w:val="00062BDD"/>
    <w:rsid w:val="00071A9B"/>
    <w:rsid w:val="00093BAE"/>
    <w:rsid w:val="000A7A83"/>
    <w:rsid w:val="000E3686"/>
    <w:rsid w:val="00267281"/>
    <w:rsid w:val="002E329A"/>
    <w:rsid w:val="0030057B"/>
    <w:rsid w:val="00312CD8"/>
    <w:rsid w:val="00314ECE"/>
    <w:rsid w:val="0032274E"/>
    <w:rsid w:val="00335520"/>
    <w:rsid w:val="003367CD"/>
    <w:rsid w:val="003702A8"/>
    <w:rsid w:val="003847F0"/>
    <w:rsid w:val="00397B9F"/>
    <w:rsid w:val="003F621D"/>
    <w:rsid w:val="00412522"/>
    <w:rsid w:val="00427350"/>
    <w:rsid w:val="00456FDF"/>
    <w:rsid w:val="00457DD7"/>
    <w:rsid w:val="004863CD"/>
    <w:rsid w:val="004A13B7"/>
    <w:rsid w:val="004B7AD4"/>
    <w:rsid w:val="004C42B1"/>
    <w:rsid w:val="004D3610"/>
    <w:rsid w:val="004E1A49"/>
    <w:rsid w:val="00514AAC"/>
    <w:rsid w:val="00533B03"/>
    <w:rsid w:val="0054677A"/>
    <w:rsid w:val="00586140"/>
    <w:rsid w:val="005A185C"/>
    <w:rsid w:val="005A7F79"/>
    <w:rsid w:val="005D48FF"/>
    <w:rsid w:val="00611A65"/>
    <w:rsid w:val="0066071B"/>
    <w:rsid w:val="00664A4C"/>
    <w:rsid w:val="00667F58"/>
    <w:rsid w:val="0068624B"/>
    <w:rsid w:val="006D63C1"/>
    <w:rsid w:val="007208AA"/>
    <w:rsid w:val="00727A90"/>
    <w:rsid w:val="0077061D"/>
    <w:rsid w:val="00780E34"/>
    <w:rsid w:val="007931F7"/>
    <w:rsid w:val="007E1EF0"/>
    <w:rsid w:val="008234A3"/>
    <w:rsid w:val="00847CC4"/>
    <w:rsid w:val="00865EBD"/>
    <w:rsid w:val="008B07FB"/>
    <w:rsid w:val="008B1328"/>
    <w:rsid w:val="008B413B"/>
    <w:rsid w:val="008C1E7C"/>
    <w:rsid w:val="008E14C4"/>
    <w:rsid w:val="00935A8F"/>
    <w:rsid w:val="0097004B"/>
    <w:rsid w:val="00982299"/>
    <w:rsid w:val="00985A75"/>
    <w:rsid w:val="00997105"/>
    <w:rsid w:val="009C4266"/>
    <w:rsid w:val="00A147EE"/>
    <w:rsid w:val="00A365F3"/>
    <w:rsid w:val="00A50973"/>
    <w:rsid w:val="00A705CC"/>
    <w:rsid w:val="00A95B4C"/>
    <w:rsid w:val="00AA5285"/>
    <w:rsid w:val="00AB402C"/>
    <w:rsid w:val="00AC1511"/>
    <w:rsid w:val="00AC6102"/>
    <w:rsid w:val="00AD6AFF"/>
    <w:rsid w:val="00AF5860"/>
    <w:rsid w:val="00B07C00"/>
    <w:rsid w:val="00B17FD9"/>
    <w:rsid w:val="00B2298F"/>
    <w:rsid w:val="00B24081"/>
    <w:rsid w:val="00B371DC"/>
    <w:rsid w:val="00B66A24"/>
    <w:rsid w:val="00B9282C"/>
    <w:rsid w:val="00BC2715"/>
    <w:rsid w:val="00BC2F9A"/>
    <w:rsid w:val="00BC5F9C"/>
    <w:rsid w:val="00C35903"/>
    <w:rsid w:val="00C54517"/>
    <w:rsid w:val="00CC5CC2"/>
    <w:rsid w:val="00CE58CC"/>
    <w:rsid w:val="00D2218F"/>
    <w:rsid w:val="00D4613B"/>
    <w:rsid w:val="00D746A0"/>
    <w:rsid w:val="00D75E6F"/>
    <w:rsid w:val="00D97AF2"/>
    <w:rsid w:val="00DA165E"/>
    <w:rsid w:val="00DA4722"/>
    <w:rsid w:val="00DA5D8C"/>
    <w:rsid w:val="00DA6DF1"/>
    <w:rsid w:val="00DD1D7A"/>
    <w:rsid w:val="00DD75FC"/>
    <w:rsid w:val="00E905E7"/>
    <w:rsid w:val="00E92C20"/>
    <w:rsid w:val="00EA1933"/>
    <w:rsid w:val="00EE4906"/>
    <w:rsid w:val="00EF574A"/>
    <w:rsid w:val="00F15430"/>
    <w:rsid w:val="00F21EB9"/>
    <w:rsid w:val="00F86493"/>
    <w:rsid w:val="00FE4317"/>
    <w:rsid w:val="00FE70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B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24B"/>
    <w:pPr>
      <w:ind w:left="720"/>
      <w:contextualSpacing/>
    </w:pPr>
  </w:style>
  <w:style w:type="character" w:styleId="Hyperlink">
    <w:name w:val="Hyperlink"/>
    <w:basedOn w:val="DefaultParagraphFont"/>
    <w:uiPriority w:val="99"/>
    <w:unhideWhenUsed/>
    <w:rsid w:val="008B1328"/>
    <w:rPr>
      <w:color w:val="0000FF" w:themeColor="hyperlink"/>
      <w:u w:val="single"/>
    </w:rPr>
  </w:style>
  <w:style w:type="table" w:styleId="TableGrid">
    <w:name w:val="Table Grid"/>
    <w:basedOn w:val="TableNormal"/>
    <w:uiPriority w:val="59"/>
    <w:rsid w:val="00000F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17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FD9"/>
  </w:style>
  <w:style w:type="paragraph" w:styleId="Footer">
    <w:name w:val="footer"/>
    <w:basedOn w:val="Normal"/>
    <w:link w:val="FooterChar"/>
    <w:uiPriority w:val="99"/>
    <w:unhideWhenUsed/>
    <w:rsid w:val="00B17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FD9"/>
  </w:style>
  <w:style w:type="paragraph" w:styleId="BalloonText">
    <w:name w:val="Balloon Text"/>
    <w:basedOn w:val="Normal"/>
    <w:link w:val="BalloonTextChar"/>
    <w:uiPriority w:val="99"/>
    <w:semiHidden/>
    <w:unhideWhenUsed/>
    <w:rsid w:val="00A705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5CC"/>
    <w:rPr>
      <w:rFonts w:ascii="Tahoma" w:hAnsi="Tahoma" w:cs="Tahoma"/>
      <w:sz w:val="16"/>
      <w:szCs w:val="16"/>
    </w:rPr>
  </w:style>
  <w:style w:type="paragraph" w:styleId="NoSpacing">
    <w:name w:val="No Spacing"/>
    <w:uiPriority w:val="1"/>
    <w:qFormat/>
    <w:rsid w:val="00B9282C"/>
    <w:pPr>
      <w:spacing w:after="0" w:line="240" w:lineRule="auto"/>
    </w:pPr>
  </w:style>
</w:styles>
</file>

<file path=word/webSettings.xml><?xml version="1.0" encoding="utf-8"?>
<w:webSettings xmlns:r="http://schemas.openxmlformats.org/officeDocument/2006/relationships" xmlns:w="http://schemas.openxmlformats.org/wordprocessingml/2006/main">
  <w:divs>
    <w:div w:id="138949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aumitra.bhadkamkar@sharekhan.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fsupport@sharekhan.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36E622D36364A949375FA2F5F65E72A"/>
        <w:category>
          <w:name w:val="General"/>
          <w:gallery w:val="placeholder"/>
        </w:category>
        <w:types>
          <w:type w:val="bbPlcHdr"/>
        </w:types>
        <w:behaviors>
          <w:behavior w:val="content"/>
        </w:behaviors>
        <w:guid w:val="{A00C2BA5-80C7-4AAF-9254-2AC11D16EA4D}"/>
      </w:docPartPr>
      <w:docPartBody>
        <w:p w:rsidR="003D4130" w:rsidRDefault="00732BD9" w:rsidP="00732BD9">
          <w:pPr>
            <w:pStyle w:val="A36E622D36364A949375FA2F5F65E72A"/>
          </w:pPr>
          <w:r>
            <w:rPr>
              <w:rFonts w:asciiTheme="majorHAnsi" w:eastAsiaTheme="majorEastAsia" w:hAnsiTheme="majorHAnsi" w:cstheme="majorBidi"/>
              <w:sz w:val="36"/>
              <w:szCs w:val="36"/>
            </w:rPr>
            <w:t>[Type the document title]</w:t>
          </w:r>
        </w:p>
      </w:docPartBody>
    </w:docPart>
    <w:docPart>
      <w:docPartPr>
        <w:name w:val="EB284CFE0EAF44879D2F3220ED07D185"/>
        <w:category>
          <w:name w:val="General"/>
          <w:gallery w:val="placeholder"/>
        </w:category>
        <w:types>
          <w:type w:val="bbPlcHdr"/>
        </w:types>
        <w:behaviors>
          <w:behavior w:val="content"/>
        </w:behaviors>
        <w:guid w:val="{95C9CDDD-17CE-445D-803A-404EF4D0A8E5}"/>
      </w:docPartPr>
      <w:docPartBody>
        <w:p w:rsidR="003D4130" w:rsidRDefault="00732BD9" w:rsidP="00732BD9">
          <w:pPr>
            <w:pStyle w:val="EB284CFE0EAF44879D2F3220ED07D185"/>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32BD9"/>
    <w:rsid w:val="003D4130"/>
    <w:rsid w:val="00590BFF"/>
    <w:rsid w:val="00732BD9"/>
    <w:rsid w:val="0088124C"/>
    <w:rsid w:val="00C131E7"/>
    <w:rsid w:val="00D227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1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6E622D36364A949375FA2F5F65E72A">
    <w:name w:val="A36E622D36364A949375FA2F5F65E72A"/>
    <w:rsid w:val="00732BD9"/>
  </w:style>
  <w:style w:type="paragraph" w:customStyle="1" w:styleId="EB284CFE0EAF44879D2F3220ED07D185">
    <w:name w:val="EB284CFE0EAF44879D2F3220ED07D185"/>
    <w:rsid w:val="00732BD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D2CF9A-EF99-45DF-A275-BC38B6DB2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MUTUAL FUND SALES ENABLER</vt:lpstr>
    </vt:vector>
  </TitlesOfParts>
  <Company/>
  <LinksUpToDate>false</LinksUpToDate>
  <CharactersWithSpaces>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 FUND SALES ENABLER</dc:title>
  <dc:creator>sudhakar.ringane</dc:creator>
  <cp:lastModifiedBy>Sadiya Khan</cp:lastModifiedBy>
  <cp:revision>27</cp:revision>
  <dcterms:created xsi:type="dcterms:W3CDTF">2021-02-05T10:51:00Z</dcterms:created>
  <dcterms:modified xsi:type="dcterms:W3CDTF">2021-02-05T11:09:00Z</dcterms:modified>
</cp:coreProperties>
</file>